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adjustRightInd w:val="0"/>
        <w:snapToGrid w:val="0"/>
        <w:spacing w:line="288" w:lineRule="auto"/>
        <w:jc w:val="center"/>
        <w:rPr>
          <w:rFonts w:eastAsia="华文仿宋"/>
          <w:kern w:val="44"/>
          <w:sz w:val="36"/>
          <w:szCs w:val="32"/>
        </w:rPr>
      </w:pPr>
    </w:p>
    <w:p>
      <w:pPr>
        <w:adjustRightInd w:val="0"/>
        <w:snapToGrid w:val="0"/>
        <w:spacing w:line="288" w:lineRule="auto"/>
        <w:jc w:val="center"/>
        <w:rPr>
          <w:rFonts w:eastAsia="华文仿宋"/>
          <w:kern w:val="44"/>
          <w:sz w:val="36"/>
          <w:szCs w:val="32"/>
        </w:rPr>
      </w:pPr>
      <w:r>
        <w:rPr>
          <w:rFonts w:eastAsia="华文仿宋"/>
          <w:kern w:val="44"/>
          <w:sz w:val="36"/>
          <w:szCs w:val="32"/>
        </w:rPr>
        <w:t>（</w:t>
      </w:r>
      <w:r>
        <w:rPr>
          <w:rFonts w:hint="eastAsia" w:eastAsia="华文仿宋"/>
          <w:kern w:val="44"/>
          <w:sz w:val="36"/>
          <w:szCs w:val="32"/>
          <w:lang w:val="en-US" w:eastAsia="zh-CN"/>
        </w:rPr>
        <w:t>公示本</w:t>
      </w:r>
      <w:r>
        <w:rPr>
          <w:rFonts w:eastAsia="华文仿宋"/>
          <w:kern w:val="44"/>
          <w:sz w:val="36"/>
          <w:szCs w:val="32"/>
        </w:rPr>
        <w:t>）</w:t>
      </w:r>
    </w:p>
    <w:p>
      <w:pPr>
        <w:jc w:val="center"/>
        <w:rPr>
          <w:rFonts w:eastAsia="仿宋"/>
          <w:sz w:val="52"/>
          <w:szCs w:val="52"/>
        </w:rPr>
      </w:pPr>
    </w:p>
    <w:p>
      <w:pPr>
        <w:pStyle w:val="15"/>
      </w:pPr>
    </w:p>
    <w:p>
      <w:pPr>
        <w:ind w:firstLine="1040"/>
        <w:rPr>
          <w:rFonts w:eastAsia="仿宋"/>
          <w:sz w:val="44"/>
          <w:szCs w:val="44"/>
        </w:rPr>
      </w:pPr>
    </w:p>
    <w:p>
      <w:pPr>
        <w:pStyle w:val="15"/>
      </w:pPr>
    </w:p>
    <w:p>
      <w:pPr>
        <w:ind w:firstLine="1040"/>
        <w:rPr>
          <w:rFonts w:eastAsia="仿宋"/>
          <w:sz w:val="44"/>
          <w:szCs w:val="44"/>
        </w:rPr>
      </w:pPr>
    </w:p>
    <w:tbl>
      <w:tblPr>
        <w:tblStyle w:val="21"/>
        <w:tblW w:w="0" w:type="auto"/>
        <w:jc w:val="center"/>
        <w:tblLayout w:type="fixed"/>
        <w:tblCellMar>
          <w:top w:w="0" w:type="dxa"/>
          <w:left w:w="108" w:type="dxa"/>
          <w:bottom w:w="0" w:type="dxa"/>
          <w:right w:w="108" w:type="dxa"/>
        </w:tblCellMar>
      </w:tblPr>
      <w:tblGrid>
        <w:gridCol w:w="2032"/>
        <w:gridCol w:w="5264"/>
      </w:tblGrid>
      <w:tr>
        <w:trPr>
          <w:trHeight w:val="170"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项目名称:</w:t>
            </w:r>
          </w:p>
        </w:tc>
        <w:tc>
          <w:tcPr>
            <w:tcW w:w="5264" w:type="dxa"/>
            <w:vAlign w:val="center"/>
          </w:tcPr>
          <w:p>
            <w:pPr>
              <w:adjustRightInd w:val="0"/>
              <w:snapToGrid w:val="0"/>
              <w:spacing w:line="288" w:lineRule="auto"/>
              <w:jc w:val="left"/>
              <w:rPr>
                <w:rFonts w:eastAsia="仿宋_GB2312"/>
                <w:spacing w:val="-20"/>
                <w:sz w:val="32"/>
                <w:szCs w:val="32"/>
                <w:u w:val="single"/>
              </w:rPr>
            </w:pPr>
            <w:r>
              <w:rPr>
                <w:rFonts w:hint="eastAsia" w:eastAsia="仿宋_GB2312"/>
                <w:sz w:val="32"/>
                <w:szCs w:val="32"/>
                <w:u w:val="single"/>
              </w:rPr>
              <w:t>通川区洁泰洗涤厂新增2吨天然气备用锅炉项目</w:t>
            </w:r>
          </w:p>
        </w:tc>
      </w:tr>
      <w:tr>
        <w:tblPrEx>
          <w:tblCellMar>
            <w:top w:w="0" w:type="dxa"/>
            <w:left w:w="108" w:type="dxa"/>
            <w:bottom w:w="0" w:type="dxa"/>
            <w:right w:w="108" w:type="dxa"/>
          </w:tblCellMar>
        </w:tblPrEx>
        <w:trPr>
          <w:trHeight w:val="90" w:hRule="atLeast"/>
          <w:jc w:val="center"/>
        </w:trPr>
        <w:tc>
          <w:tcPr>
            <w:tcW w:w="2032" w:type="dxa"/>
            <w:vAlign w:val="center"/>
          </w:tcPr>
          <w:p>
            <w:pPr>
              <w:adjustRightInd w:val="0"/>
              <w:spacing w:line="192" w:lineRule="auto"/>
              <w:jc w:val="center"/>
              <w:rPr>
                <w:rFonts w:eastAsia="黑体"/>
                <w:bCs/>
                <w:sz w:val="32"/>
                <w:szCs w:val="32"/>
              </w:rPr>
            </w:pPr>
          </w:p>
        </w:tc>
        <w:tc>
          <w:tcPr>
            <w:tcW w:w="5264" w:type="dxa"/>
            <w:vAlign w:val="center"/>
          </w:tcPr>
          <w:p>
            <w:pPr>
              <w:adjustRightInd w:val="0"/>
              <w:spacing w:line="192" w:lineRule="auto"/>
              <w:jc w:val="center"/>
              <w:rPr>
                <w:rFonts w:eastAsia="黑体"/>
                <w:bCs/>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建设单位(盖章):</w:t>
            </w:r>
          </w:p>
        </w:tc>
        <w:tc>
          <w:tcPr>
            <w:tcW w:w="5264" w:type="dxa"/>
            <w:vAlign w:val="center"/>
          </w:tcPr>
          <w:p>
            <w:pPr>
              <w:adjustRightInd w:val="0"/>
              <w:snapToGrid w:val="0"/>
              <w:spacing w:line="288" w:lineRule="auto"/>
              <w:jc w:val="left"/>
              <w:rPr>
                <w:rFonts w:eastAsia="仿宋_GB2312"/>
                <w:spacing w:val="-4"/>
                <w:sz w:val="32"/>
                <w:szCs w:val="32"/>
                <w:u w:val="single"/>
              </w:rPr>
            </w:pPr>
            <w:r>
              <w:rPr>
                <w:rFonts w:hint="eastAsia" w:eastAsia="仿宋_GB2312"/>
                <w:spacing w:val="-4"/>
                <w:sz w:val="32"/>
                <w:szCs w:val="32"/>
                <w:u w:val="single"/>
              </w:rPr>
              <w:t xml:space="preserve">      达州市通川区洁泰洗涤厂     </w:t>
            </w: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16" w:lineRule="atLeast"/>
              <w:jc w:val="center"/>
              <w:rPr>
                <w:rFonts w:eastAsia="仿宋_GB2312"/>
                <w:sz w:val="32"/>
                <w:szCs w:val="32"/>
              </w:rPr>
            </w:pPr>
          </w:p>
        </w:tc>
        <w:tc>
          <w:tcPr>
            <w:tcW w:w="5264" w:type="dxa"/>
            <w:vAlign w:val="center"/>
          </w:tcPr>
          <w:p>
            <w:pPr>
              <w:adjustRightInd w:val="0"/>
              <w:snapToGrid w:val="0"/>
              <w:spacing w:line="16" w:lineRule="atLeast"/>
              <w:ind w:firstLine="1037"/>
              <w:jc w:val="center"/>
              <w:rPr>
                <w:rFonts w:eastAsia="仿宋_GB2312"/>
                <w:sz w:val="32"/>
                <w:szCs w:val="32"/>
              </w:rPr>
            </w:pPr>
          </w:p>
        </w:tc>
      </w:tr>
      <w:tr>
        <w:tblPrEx>
          <w:tblCellMar>
            <w:top w:w="0" w:type="dxa"/>
            <w:left w:w="108" w:type="dxa"/>
            <w:bottom w:w="0" w:type="dxa"/>
            <w:right w:w="108" w:type="dxa"/>
          </w:tblCellMar>
        </w:tblPrEx>
        <w:trPr>
          <w:trHeight w:val="176" w:hRule="atLeast"/>
          <w:jc w:val="center"/>
        </w:trPr>
        <w:tc>
          <w:tcPr>
            <w:tcW w:w="2032" w:type="dxa"/>
            <w:vAlign w:val="center"/>
          </w:tcPr>
          <w:p>
            <w:pPr>
              <w:adjustRightInd w:val="0"/>
              <w:snapToGrid w:val="0"/>
              <w:spacing w:line="288" w:lineRule="auto"/>
              <w:jc w:val="center"/>
              <w:rPr>
                <w:rFonts w:eastAsia="仿宋_GB2312"/>
                <w:spacing w:val="30"/>
                <w:sz w:val="32"/>
                <w:szCs w:val="32"/>
              </w:rPr>
            </w:pPr>
            <w:r>
              <w:rPr>
                <w:rFonts w:eastAsia="仿宋_GB2312"/>
                <w:spacing w:val="30"/>
                <w:sz w:val="32"/>
                <w:szCs w:val="32"/>
              </w:rPr>
              <w:t>编制日期：</w:t>
            </w:r>
          </w:p>
        </w:tc>
        <w:tc>
          <w:tcPr>
            <w:tcW w:w="5264" w:type="dxa"/>
            <w:vAlign w:val="center"/>
          </w:tcPr>
          <w:p>
            <w:pPr>
              <w:adjustRightInd w:val="0"/>
              <w:snapToGrid w:val="0"/>
              <w:spacing w:line="288" w:lineRule="auto"/>
              <w:jc w:val="left"/>
              <w:rPr>
                <w:rFonts w:eastAsia="仿宋_GB2312"/>
                <w:sz w:val="32"/>
                <w:szCs w:val="32"/>
                <w:u w:val="single"/>
              </w:rPr>
            </w:pPr>
            <w:r>
              <w:rPr>
                <w:rFonts w:hint="eastAsia" w:eastAsia="仿宋_GB2312"/>
                <w:sz w:val="32"/>
                <w:szCs w:val="32"/>
                <w:u w:val="single"/>
              </w:rPr>
              <w:t xml:space="preserve">        </w:t>
            </w:r>
            <w:r>
              <w:rPr>
                <w:rFonts w:hint="eastAsia" w:eastAsia="仿宋_GB2312"/>
                <w:sz w:val="32"/>
                <w:szCs w:val="32"/>
                <w:u w:val="single"/>
                <w:lang w:eastAsia="zh-CN"/>
              </w:rPr>
              <w:t>二○</w:t>
            </w:r>
            <w:r>
              <w:rPr>
                <w:rFonts w:hint="eastAsia" w:eastAsia="仿宋_GB2312"/>
                <w:sz w:val="32"/>
                <w:szCs w:val="32"/>
                <w:u w:val="single"/>
              </w:rPr>
              <w:t>二三</w:t>
            </w:r>
            <w:r>
              <w:rPr>
                <w:rFonts w:eastAsia="仿宋_GB2312"/>
                <w:sz w:val="32"/>
                <w:szCs w:val="32"/>
                <w:u w:val="single"/>
              </w:rPr>
              <w:t>年五月</w:t>
            </w:r>
            <w:r>
              <w:rPr>
                <w:rFonts w:hint="eastAsia" w:eastAsia="仿宋_GB2312"/>
                <w:sz w:val="32"/>
                <w:szCs w:val="32"/>
                <w:u w:val="single"/>
              </w:rPr>
              <w:t xml:space="preserve">           </w:t>
            </w:r>
          </w:p>
        </w:tc>
      </w:tr>
    </w:tbl>
    <w:p>
      <w:pPr>
        <w:ind w:firstLine="1040"/>
        <w:rPr>
          <w:rFonts w:eastAsia="仿宋"/>
          <w:sz w:val="44"/>
          <w:szCs w:val="44"/>
        </w:rPr>
      </w:pPr>
    </w:p>
    <w:p>
      <w:pPr>
        <w:adjustRightInd w:val="0"/>
        <w:snapToGrid w:val="0"/>
        <w:spacing w:line="288" w:lineRule="auto"/>
        <w:ind w:firstLine="1040"/>
        <w:rPr>
          <w:rFonts w:eastAsia="仿宋_GB2312"/>
          <w:sz w:val="36"/>
          <w:szCs w:val="36"/>
        </w:rPr>
      </w:pPr>
      <w:bookmarkStart w:id="0" w:name="_Hlk57884087"/>
    </w:p>
    <w:p>
      <w:pPr>
        <w:adjustRightInd w:val="0"/>
        <w:snapToGrid w:val="0"/>
        <w:spacing w:line="288" w:lineRule="auto"/>
        <w:ind w:firstLine="1040"/>
        <w:rPr>
          <w:rFonts w:eastAsia="仿宋_GB2312"/>
          <w:sz w:val="36"/>
          <w:szCs w:val="36"/>
        </w:rPr>
      </w:pPr>
    </w:p>
    <w:p>
      <w:pPr>
        <w:pStyle w:val="15"/>
      </w:pPr>
    </w:p>
    <w:bookmarkEnd w:id="0"/>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r>
        <w:rPr>
          <w:rFonts w:eastAsia="楷体_GB2312"/>
          <w:sz w:val="36"/>
          <w:szCs w:val="36"/>
        </w:rPr>
        <w:t>中华人民共和国生态环境部</w:t>
      </w:r>
      <w:r>
        <w:rPr>
          <w:rFonts w:hint="eastAsia" w:eastAsia="楷体_GB2312"/>
          <w:sz w:val="36"/>
          <w:szCs w:val="36"/>
        </w:rPr>
        <w:t xml:space="preserve">  </w:t>
      </w:r>
      <w:r>
        <w:rPr>
          <w:rFonts w:eastAsia="楷体_GB2312"/>
          <w:sz w:val="36"/>
          <w:szCs w:val="36"/>
        </w:rPr>
        <w:t>制</w:t>
      </w:r>
    </w:p>
    <w:p>
      <w:pPr>
        <w:widowControl/>
        <w:spacing w:line="288" w:lineRule="auto"/>
        <w:jc w:val="left"/>
        <w:rPr>
          <w:rFonts w:eastAsia="仿宋_GB2312"/>
          <w:sz w:val="36"/>
          <w:szCs w:val="36"/>
        </w:rPr>
        <w:sectPr>
          <w:footerReference r:id="rId3" w:type="default"/>
          <w:pgSz w:w="11906" w:h="16838"/>
          <w:pgMar w:top="1701" w:right="1531" w:bottom="1701" w:left="1531" w:header="851" w:footer="1077" w:gutter="0"/>
          <w:pgNumType w:start="3"/>
          <w:cols w:space="720" w:num="1"/>
        </w:sectPr>
      </w:pPr>
    </w:p>
    <w:p>
      <w:pPr>
        <w:pStyle w:val="19"/>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40"/>
        <w:gridCol w:w="1879"/>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建设项目名称</w:t>
            </w:r>
          </w:p>
        </w:tc>
        <w:tc>
          <w:tcPr>
            <w:tcW w:w="6730"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通川区洁泰洗涤厂新增2吨天然气备用锅炉项目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项目代码</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建设单位联系人</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肖帮云</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联系方式</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pacing w:val="-10"/>
                <w:szCs w:val="21"/>
              </w:rPr>
              <w:t>15881888860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建设地点</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u w:val="single"/>
              </w:rPr>
            </w:pPr>
            <w:r>
              <w:rPr>
                <w:szCs w:val="21"/>
                <w:u w:val="single"/>
              </w:rPr>
              <w:t xml:space="preserve">  四川 </w:t>
            </w:r>
            <w:r>
              <w:rPr>
                <w:szCs w:val="21"/>
              </w:rPr>
              <w:t>省</w:t>
            </w:r>
            <w:r>
              <w:rPr>
                <w:szCs w:val="21"/>
                <w:u w:val="single"/>
              </w:rPr>
              <w:t xml:space="preserve"> 达州市 </w:t>
            </w:r>
            <w:r>
              <w:rPr>
                <w:szCs w:val="21"/>
              </w:rPr>
              <w:t>市</w:t>
            </w:r>
            <w:r>
              <w:rPr>
                <w:szCs w:val="21"/>
                <w:u w:val="single"/>
              </w:rPr>
              <w:t xml:space="preserve"> 东岳</w:t>
            </w:r>
            <w:r>
              <w:rPr>
                <w:rFonts w:hint="eastAsia"/>
                <w:szCs w:val="21"/>
              </w:rPr>
              <w:t>镇</w:t>
            </w:r>
            <w:r>
              <w:rPr>
                <w:rFonts w:hint="eastAsia"/>
                <w:szCs w:val="21"/>
                <w:u w:val="single"/>
              </w:rPr>
              <w:t xml:space="preserve"> 飞井村7 </w:t>
            </w:r>
            <w:r>
              <w:rPr>
                <w:rFonts w:hint="eastAsia"/>
                <w:szCs w:val="21"/>
              </w:rPr>
              <w:t xml:space="preserve">组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地理坐标</w:t>
            </w:r>
          </w:p>
        </w:tc>
        <w:tc>
          <w:tcPr>
            <w:tcW w:w="6730" w:type="dxa"/>
            <w:gridSpan w:val="3"/>
            <w:tcBorders>
              <w:top w:val="single" w:color="auto" w:sz="4" w:space="0"/>
              <w:left w:val="single" w:color="auto" w:sz="4" w:space="0"/>
              <w:bottom w:val="single" w:color="auto" w:sz="4" w:space="0"/>
              <w:right w:val="single" w:color="auto" w:sz="8" w:space="0"/>
            </w:tcBorders>
            <w:vAlign w:val="center"/>
          </w:tcPr>
          <w:p>
            <w:pPr>
              <w:jc w:val="center"/>
              <w:rPr>
                <w:szCs w:val="21"/>
              </w:rPr>
            </w:pPr>
            <w:r>
              <w:rPr>
                <w:szCs w:val="21"/>
              </w:rPr>
              <w:t>（</w:t>
            </w:r>
            <w:r>
              <w:rPr>
                <w:szCs w:val="21"/>
                <w:u w:val="single"/>
              </w:rPr>
              <w:t xml:space="preserve"> 10</w:t>
            </w:r>
            <w:r>
              <w:rPr>
                <w:rFonts w:hint="eastAsia"/>
                <w:szCs w:val="21"/>
                <w:u w:val="single"/>
              </w:rPr>
              <w:t>7</w:t>
            </w:r>
            <w:r>
              <w:rPr>
                <w:szCs w:val="21"/>
              </w:rPr>
              <w:t>度</w:t>
            </w:r>
            <w:r>
              <w:rPr>
                <w:rFonts w:hint="eastAsia"/>
                <w:szCs w:val="21"/>
                <w:u w:val="single"/>
              </w:rPr>
              <w:t xml:space="preserve"> 29</w:t>
            </w:r>
            <w:r>
              <w:rPr>
                <w:szCs w:val="21"/>
              </w:rPr>
              <w:t>分</w:t>
            </w:r>
            <w:r>
              <w:rPr>
                <w:rFonts w:hint="eastAsia"/>
                <w:szCs w:val="21"/>
                <w:u w:val="single"/>
              </w:rPr>
              <w:t>41.300</w:t>
            </w:r>
            <w:r>
              <w:rPr>
                <w:szCs w:val="21"/>
              </w:rPr>
              <w:t>秒，</w:t>
            </w:r>
            <w:r>
              <w:rPr>
                <w:szCs w:val="21"/>
                <w:u w:val="single"/>
              </w:rPr>
              <w:t xml:space="preserve"> 31 </w:t>
            </w:r>
            <w:r>
              <w:rPr>
                <w:szCs w:val="21"/>
              </w:rPr>
              <w:t>度</w:t>
            </w:r>
            <w:r>
              <w:rPr>
                <w:rFonts w:hint="eastAsia"/>
                <w:szCs w:val="21"/>
                <w:u w:val="single"/>
              </w:rPr>
              <w:t>19</w:t>
            </w:r>
            <w:r>
              <w:rPr>
                <w:szCs w:val="21"/>
              </w:rPr>
              <w:t>分</w:t>
            </w:r>
            <w:r>
              <w:rPr>
                <w:rFonts w:hint="eastAsia"/>
                <w:szCs w:val="21"/>
                <w:u w:val="single"/>
              </w:rPr>
              <w:t>44.070</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国民经济</w:t>
            </w:r>
          </w:p>
          <w:p>
            <w:pPr>
              <w:adjustRightInd w:val="0"/>
              <w:snapToGrid w:val="0"/>
              <w:jc w:val="center"/>
              <w:rPr>
                <w:szCs w:val="21"/>
              </w:rPr>
            </w:pPr>
            <w:r>
              <w:rPr>
                <w:szCs w:val="21"/>
              </w:rPr>
              <w:t>行业类别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D4430 热力生产和供应</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bookmarkStart w:id="1" w:name="_Hlk49843745"/>
            <w:r>
              <w:rPr>
                <w:szCs w:val="21"/>
              </w:rPr>
              <w:t>建设项目</w:t>
            </w:r>
          </w:p>
          <w:p>
            <w:pPr>
              <w:adjustRightInd w:val="0"/>
              <w:snapToGrid w:val="0"/>
              <w:jc w:val="center"/>
              <w:rPr>
                <w:szCs w:val="21"/>
              </w:rPr>
            </w:pPr>
            <w:r>
              <w:rPr>
                <w:szCs w:val="21"/>
              </w:rPr>
              <w:t>行业类别</w:t>
            </w:r>
            <w:bookmarkEnd w:id="1"/>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rPr>
                <w:szCs w:val="21"/>
              </w:rPr>
            </w:pPr>
            <w:r>
              <w:rPr>
                <w:rFonts w:hint="eastAsia"/>
                <w:szCs w:val="21"/>
              </w:rPr>
              <w:t>四十一、电力、热力生产和供应业  91条 热力生产和供应工程（包括建设单位自建自用的供热工程）中“天然气锅炉总容量1吨/小时（0.7兆瓦）以上的”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建设性质</w:t>
            </w:r>
          </w:p>
        </w:tc>
        <w:tc>
          <w:tcPr>
            <w:tcW w:w="1879" w:type="dxa"/>
            <w:tcBorders>
              <w:top w:val="single" w:color="auto" w:sz="4" w:space="0"/>
              <w:left w:val="single" w:color="auto" w:sz="4" w:space="0"/>
              <w:bottom w:val="single" w:color="auto" w:sz="4" w:space="0"/>
              <w:right w:val="single" w:color="auto" w:sz="4" w:space="0"/>
            </w:tcBorders>
            <w:vAlign w:val="center"/>
          </w:tcPr>
          <w:p>
            <w:pPr>
              <w:jc w:val="left"/>
              <w:rPr>
                <w:szCs w:val="21"/>
              </w:rPr>
            </w:pPr>
            <w:r>
              <w:rPr>
                <w:rFonts w:hint="eastAsia" w:ascii="MS Gothic" w:hAnsi="MS Gothic" w:eastAsia="MS Gothic" w:cs="MS Gothic"/>
                <w:szCs w:val="21"/>
              </w:rPr>
              <w:t>☐</w:t>
            </w:r>
            <w:r>
              <w:rPr>
                <w:szCs w:val="21"/>
              </w:rPr>
              <w:t>新建</w:t>
            </w:r>
          </w:p>
          <w:p>
            <w:pPr>
              <w:jc w:val="left"/>
              <w:rPr>
                <w:szCs w:val="21"/>
              </w:rPr>
            </w:pPr>
            <w:sdt>
              <w:sdtPr>
                <w:rPr>
                  <w:szCs w:val="21"/>
                </w:rPr>
                <w:id w:val="-1287350356"/>
              </w:sdtPr>
              <w:sdtEndPr>
                <w:rPr>
                  <w:szCs w:val="21"/>
                </w:rPr>
              </w:sdtEndPr>
              <w:sdtContent>
                <w:bookmarkStart w:id="2" w:name="OLE_LINK3"/>
                <w:sdt>
                  <w:sdtPr>
                    <w:rPr>
                      <w:szCs w:val="21"/>
                    </w:rPr>
                    <w:id w:val="629664090"/>
                  </w:sdtPr>
                  <w:sdtEndPr>
                    <w:rPr>
                      <w:szCs w:val="21"/>
                    </w:rPr>
                  </w:sdtEndPr>
                  <w:sdtContent>
                    <w:r>
                      <w:rPr>
                        <w:szCs w:val="21"/>
                      </w:rPr>
                      <w:sym w:font="Wingdings 2" w:char="F052"/>
                    </w:r>
                  </w:sdtContent>
                </w:sdt>
                <w:bookmarkEnd w:id="2"/>
              </w:sdtContent>
            </w:sdt>
            <w:r>
              <w:rPr>
                <w:szCs w:val="21"/>
              </w:rPr>
              <w:t>改建</w:t>
            </w:r>
          </w:p>
          <w:p>
            <w:pPr>
              <w:jc w:val="left"/>
              <w:rPr>
                <w:szCs w:val="21"/>
              </w:rPr>
            </w:pPr>
            <w:sdt>
              <w:sdtPr>
                <w:rPr>
                  <w:szCs w:val="21"/>
                </w:rPr>
                <w:id w:val="-35431507"/>
              </w:sdtPr>
              <w:sdtEndPr>
                <w:rPr>
                  <w:szCs w:val="21"/>
                </w:rPr>
              </w:sdtEndPr>
              <w:sdtContent>
                <w:r>
                  <w:rPr>
                    <w:rFonts w:hint="eastAsia" w:ascii="MS Gothic" w:hAnsi="MS Gothic" w:eastAsia="MS Gothic" w:cs="MS Gothic"/>
                    <w:szCs w:val="21"/>
                  </w:rPr>
                  <w:t>☐</w:t>
                </w:r>
              </w:sdtContent>
            </w:sdt>
            <w:r>
              <w:rPr>
                <w:szCs w:val="21"/>
              </w:rPr>
              <w:t>扩建</w:t>
            </w:r>
          </w:p>
          <w:p>
            <w:pPr>
              <w:jc w:val="left"/>
              <w:rPr>
                <w:szCs w:val="21"/>
              </w:rPr>
            </w:pPr>
            <w:sdt>
              <w:sdtPr>
                <w:rPr>
                  <w:szCs w:val="21"/>
                </w:rPr>
                <w:id w:val="-1484306231"/>
              </w:sdtPr>
              <w:sdtEndPr>
                <w:rPr>
                  <w:szCs w:val="21"/>
                </w:rPr>
              </w:sdtEndPr>
              <w:sdtContent>
                <w:r>
                  <w:rPr>
                    <w:rFonts w:hint="eastAsia" w:ascii="MS Gothic" w:hAnsi="MS Gothic" w:eastAsia="MS Gothic" w:cs="MS Gothic"/>
                    <w:szCs w:val="21"/>
                  </w:rPr>
                  <w:t>☐</w:t>
                </w:r>
              </w:sdtContent>
            </w:sdt>
            <w:r>
              <w:rPr>
                <w:szCs w:val="21"/>
              </w:rPr>
              <w:t>技术改造</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建设项目</w:t>
            </w:r>
          </w:p>
          <w:p>
            <w:pPr>
              <w:adjustRightInd w:val="0"/>
              <w:snapToGrid w:val="0"/>
              <w:jc w:val="center"/>
              <w:rPr>
                <w:szCs w:val="21"/>
              </w:rPr>
            </w:pPr>
            <w:r>
              <w:rPr>
                <w:szCs w:val="21"/>
              </w:rPr>
              <w:t>申报情形</w:t>
            </w:r>
          </w:p>
        </w:tc>
        <w:tc>
          <w:tcPr>
            <w:tcW w:w="2639" w:type="dxa"/>
            <w:tcBorders>
              <w:top w:val="single" w:color="auto" w:sz="4" w:space="0"/>
              <w:left w:val="single" w:color="auto" w:sz="4" w:space="0"/>
              <w:bottom w:val="single" w:color="auto" w:sz="4" w:space="0"/>
              <w:right w:val="single" w:color="auto" w:sz="8" w:space="0"/>
            </w:tcBorders>
            <w:vAlign w:val="center"/>
          </w:tcPr>
          <w:p>
            <w:pPr>
              <w:jc w:val="left"/>
              <w:rPr>
                <w:szCs w:val="21"/>
              </w:rPr>
            </w:pPr>
            <w:sdt>
              <w:sdtPr>
                <w:rPr>
                  <w:szCs w:val="21"/>
                </w:rPr>
                <w:id w:val="609859715"/>
              </w:sdtPr>
              <w:sdtEndPr>
                <w:rPr>
                  <w:szCs w:val="21"/>
                </w:rPr>
              </w:sdtEndPr>
              <w:sdtContent>
                <w:r>
                  <w:rPr>
                    <w:szCs w:val="21"/>
                  </w:rPr>
                  <w:sym w:font="Wingdings 2" w:char="F052"/>
                </w:r>
              </w:sdtContent>
            </w:sdt>
            <w:r>
              <w:rPr>
                <w:szCs w:val="21"/>
              </w:rPr>
              <w:t xml:space="preserve">首次申报项目             </w:t>
            </w:r>
          </w:p>
          <w:p>
            <w:pPr>
              <w:jc w:val="left"/>
              <w:rPr>
                <w:szCs w:val="21"/>
              </w:rPr>
            </w:pPr>
            <w:sdt>
              <w:sdtPr>
                <w:rPr>
                  <w:szCs w:val="21"/>
                </w:rPr>
                <w:id w:val="2096352931"/>
              </w:sdtPr>
              <w:sdtEndPr>
                <w:rPr>
                  <w:szCs w:val="21"/>
                </w:rPr>
              </w:sdtEndPr>
              <w:sdtContent>
                <w:r>
                  <w:rPr>
                    <w:rFonts w:hint="eastAsia" w:ascii="MS Gothic" w:hAnsi="MS Gothic" w:eastAsia="MS Gothic" w:cs="MS Gothic"/>
                    <w:szCs w:val="21"/>
                  </w:rPr>
                  <w:t>☐</w:t>
                </w:r>
              </w:sdtContent>
            </w:sdt>
            <w:r>
              <w:rPr>
                <w:szCs w:val="21"/>
              </w:rPr>
              <w:t>不予批准后再次申报项目</w:t>
            </w:r>
          </w:p>
          <w:p>
            <w:pPr>
              <w:jc w:val="left"/>
              <w:rPr>
                <w:szCs w:val="21"/>
              </w:rPr>
            </w:pPr>
            <w:sdt>
              <w:sdtPr>
                <w:rPr>
                  <w:szCs w:val="21"/>
                </w:rPr>
                <w:id w:val="-1039577924"/>
              </w:sdtPr>
              <w:sdtEndPr>
                <w:rPr>
                  <w:szCs w:val="21"/>
                </w:rPr>
              </w:sdtEndPr>
              <w:sdtContent>
                <w:r>
                  <w:rPr>
                    <w:rFonts w:hint="eastAsia" w:ascii="MS Gothic" w:hAnsi="MS Gothic" w:eastAsia="MS Gothic" w:cs="MS Gothic"/>
                    <w:szCs w:val="21"/>
                  </w:rPr>
                  <w:t>☐</w:t>
                </w:r>
              </w:sdtContent>
            </w:sdt>
            <w:r>
              <w:rPr>
                <w:szCs w:val="21"/>
              </w:rPr>
              <w:t xml:space="preserve">超五年重新审核项目     </w:t>
            </w:r>
          </w:p>
          <w:p>
            <w:pPr>
              <w:jc w:val="left"/>
              <w:rPr>
                <w:szCs w:val="21"/>
              </w:rPr>
            </w:pPr>
            <w:sdt>
              <w:sdtPr>
                <w:rPr>
                  <w:szCs w:val="21"/>
                </w:rPr>
                <w:id w:val="-277028319"/>
              </w:sdtPr>
              <w:sdtEndPr>
                <w:rPr>
                  <w:szCs w:val="21"/>
                </w:rPr>
              </w:sdtEndPr>
              <w:sdtContent>
                <w:r>
                  <w:rPr>
                    <w:rFonts w:hint="eastAsia" w:ascii="MS Gothic" w:hAnsi="MS Gothic" w:eastAsia="MS Gothic" w:cs="MS Gothic"/>
                    <w:szCs w:val="21"/>
                  </w:rPr>
                  <w:t>☐</w:t>
                </w:r>
              </w:sdtContent>
            </w:sdt>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备案）部门（选填）</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w:t>
            </w:r>
          </w:p>
        </w:tc>
        <w:tc>
          <w:tcPr>
            <w:tcW w:w="221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szCs w:val="21"/>
                <w:lang w:val="en-US" w:eastAsia="zh-CN"/>
              </w:rPr>
            </w:pPr>
            <w:r>
              <w:rPr>
                <w:szCs w:val="21"/>
              </w:rPr>
              <w:t>项目审批（核准</w:t>
            </w:r>
            <w:r>
              <w:rPr>
                <w:rFonts w:hint="eastAsia"/>
                <w:szCs w:val="21"/>
                <w:lang w:val="en-US" w:eastAsia="zh-CN"/>
              </w:rPr>
              <w:t>和</w:t>
            </w:r>
          </w:p>
          <w:p>
            <w:pPr>
              <w:adjustRightInd w:val="0"/>
              <w:snapToGrid w:val="0"/>
              <w:jc w:val="center"/>
              <w:rPr>
                <w:szCs w:val="21"/>
              </w:rPr>
            </w:pPr>
            <w:r>
              <w:rPr>
                <w:szCs w:val="21"/>
              </w:rPr>
              <w:t>备案）文号（选填）</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总投资（万元）</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50</w:t>
            </w:r>
            <w:r>
              <w:rPr>
                <w:szCs w:val="21"/>
              </w:rPr>
              <w:t>.00</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环保投资（万元）</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8"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环保投资占比（%）</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21.00</w:t>
            </w:r>
            <w:r>
              <w:rPr>
                <w:szCs w:val="21"/>
              </w:rPr>
              <w:t>%</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施工工期</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2</w:t>
            </w:r>
            <w:r>
              <w:rPr>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2140"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szCs w:val="21"/>
              </w:rPr>
              <w:t>是否开工建设</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sym w:font="Wingdings 2" w:char="0052"/>
            </w:r>
            <w:r>
              <w:rPr>
                <w:szCs w:val="21"/>
              </w:rPr>
              <w:t>否</w:t>
            </w:r>
          </w:p>
          <w:p>
            <w:pPr>
              <w:adjustRightInd w:val="0"/>
              <w:snapToGrid w:val="0"/>
              <w:rPr>
                <w:szCs w:val="21"/>
              </w:rPr>
            </w:pPr>
            <w:r>
              <w:rPr>
                <w:szCs w:val="21"/>
              </w:rPr>
              <w:sym w:font="Wingdings 2" w:char="00A3"/>
            </w:r>
            <w:r>
              <w:rPr>
                <w:szCs w:val="21"/>
              </w:rPr>
              <w:t>是：</w:t>
            </w:r>
          </w:p>
        </w:tc>
        <w:tc>
          <w:tcPr>
            <w:tcW w:w="2212"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pacing w:val="-6"/>
                <w:szCs w:val="21"/>
              </w:rPr>
            </w:pPr>
            <w:r>
              <w:rPr>
                <w:spacing w:val="-6"/>
                <w:szCs w:val="21"/>
              </w:rPr>
              <w:t>用地（用海）</w:t>
            </w:r>
          </w:p>
          <w:p>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639"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72"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kern w:val="0"/>
                <w:szCs w:val="21"/>
              </w:rPr>
              <w:t>专项评价设置情况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20" w:lineRule="exact"/>
              <w:ind w:firstLine="420" w:firstLineChars="200"/>
              <w:rPr>
                <w:rFonts w:cs="Arial"/>
              </w:rPr>
            </w:pPr>
            <w:r>
              <w:rPr>
                <w:rFonts w:hint="eastAsia" w:cs="Arial"/>
              </w:rPr>
              <w:t>根据建设项目环境影响报告表编制技术指南（污染影响类）（试行），本项目不需设置专项评价，对照情况见下表。</w:t>
            </w:r>
          </w:p>
          <w:p>
            <w:pPr>
              <w:autoSpaceDE w:val="0"/>
              <w:autoSpaceDN w:val="0"/>
              <w:adjustRightInd w:val="0"/>
              <w:spacing w:line="400" w:lineRule="exact"/>
              <w:ind w:firstLine="360" w:firstLineChars="200"/>
              <w:jc w:val="center"/>
              <w:rPr>
                <w:rFonts w:eastAsia="黑体"/>
                <w:kern w:val="0"/>
                <w:sz w:val="18"/>
                <w:szCs w:val="18"/>
              </w:rPr>
            </w:pPr>
            <w:r>
              <w:rPr>
                <w:rFonts w:ascii="黑体" w:hAnsi="黑体" w:eastAsia="黑体"/>
                <w:kern w:val="0"/>
                <w:sz w:val="18"/>
                <w:szCs w:val="18"/>
              </w:rPr>
              <w:t>表</w:t>
            </w:r>
            <w:r>
              <w:rPr>
                <w:rFonts w:eastAsia="黑体"/>
                <w:kern w:val="0"/>
                <w:sz w:val="18"/>
                <w:szCs w:val="18"/>
              </w:rPr>
              <w:t xml:space="preserve">1-1 </w:t>
            </w:r>
            <w:r>
              <w:rPr>
                <w:rFonts w:ascii="黑体" w:hAnsi="黑体" w:eastAsia="黑体"/>
                <w:kern w:val="0"/>
                <w:sz w:val="18"/>
                <w:szCs w:val="18"/>
              </w:rPr>
              <w:t>专项评价设置原则对照表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51"/>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专项评价类别</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设置原则</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b/>
                      <w:bCs/>
                      <w:sz w:val="15"/>
                      <w:szCs w:val="15"/>
                    </w:rPr>
                  </w:pPr>
                  <w:r>
                    <w:rPr>
                      <w:rFonts w:ascii="宋体" w:hAnsi="宋体"/>
                      <w:b/>
                      <w:bCs/>
                      <w:sz w:val="15"/>
                      <w:szCs w:val="15"/>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大气</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排放废气含有毒有害污染物</w:t>
                  </w:r>
                  <w:r>
                    <w:rPr>
                      <w:sz w:val="15"/>
                      <w:szCs w:val="15"/>
                      <w:vertAlign w:val="superscript"/>
                    </w:rPr>
                    <w:t>1</w:t>
                  </w:r>
                  <w:r>
                    <w:rPr>
                      <w:rFonts w:ascii="宋体" w:hAnsi="宋体"/>
                      <w:sz w:val="15"/>
                      <w:szCs w:val="15"/>
                    </w:rPr>
                    <w:t>、二噁英、苯并</w:t>
                  </w:r>
                  <w:r>
                    <w:rPr>
                      <w:sz w:val="15"/>
                      <w:szCs w:val="15"/>
                    </w:rPr>
                    <w:t>[a]</w:t>
                  </w:r>
                  <w:r>
                    <w:rPr>
                      <w:rFonts w:ascii="宋体" w:hAnsi="宋体"/>
                      <w:sz w:val="15"/>
                      <w:szCs w:val="15"/>
                    </w:rPr>
                    <w:t>芘、氰化物、氯气且厂界外</w:t>
                  </w:r>
                  <w:r>
                    <w:rPr>
                      <w:sz w:val="15"/>
                      <w:szCs w:val="15"/>
                    </w:rPr>
                    <w:t>500</w:t>
                  </w:r>
                  <w:r>
                    <w:rPr>
                      <w:rFonts w:ascii="宋体" w:hAnsi="宋体"/>
                      <w:sz w:val="15"/>
                      <w:szCs w:val="15"/>
                    </w:rPr>
                    <w:t>米范围内有环境空气保护目标</w:t>
                  </w:r>
                  <w:r>
                    <w:rPr>
                      <w:sz w:val="15"/>
                      <w:szCs w:val="15"/>
                      <w:vertAlign w:val="superscript"/>
                    </w:rPr>
                    <w:t>2</w:t>
                  </w:r>
                  <w:r>
                    <w:rPr>
                      <w:rFonts w:ascii="宋体" w:hAnsi="宋体"/>
                      <w:sz w:val="15"/>
                      <w:szCs w:val="15"/>
                    </w:rPr>
                    <w:t>的建设项目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本项目运营期废气污染物因子</w:t>
                  </w:r>
                  <w:r>
                    <w:rPr>
                      <w:rFonts w:hint="eastAsia" w:ascii="宋体" w:hAnsi="宋体"/>
                      <w:sz w:val="15"/>
                      <w:szCs w:val="15"/>
                    </w:rPr>
                    <w:t>为二氧化硫、氮氧化物、颗粒物等</w:t>
                  </w:r>
                  <w:r>
                    <w:rPr>
                      <w:rFonts w:ascii="宋体" w:hAnsi="宋体"/>
                      <w:sz w:val="15"/>
                      <w:szCs w:val="15"/>
                    </w:rPr>
                    <w:t>，</w:t>
                  </w:r>
                  <w:r>
                    <w:rPr>
                      <w:rFonts w:hint="eastAsia" w:ascii="宋体" w:hAnsi="宋体"/>
                      <w:sz w:val="15"/>
                      <w:szCs w:val="15"/>
                    </w:rPr>
                    <w:t>不属于</w:t>
                  </w:r>
                  <w:r>
                    <w:rPr>
                      <w:rFonts w:ascii="宋体" w:hAnsi="宋体"/>
                      <w:sz w:val="15"/>
                      <w:szCs w:val="15"/>
                    </w:rPr>
                    <w:t>有毒有害污染物</w:t>
                  </w:r>
                  <w:r>
                    <w:rPr>
                      <w:rFonts w:hint="eastAsia" w:ascii="宋体" w:hAnsi="宋体"/>
                      <w:sz w:val="15"/>
                      <w:szCs w:val="15"/>
                    </w:rPr>
                    <w:t>等。</w:t>
                  </w:r>
                  <w:r>
                    <w:rPr>
                      <w:rFonts w:ascii="宋体" w:hAnsi="宋体"/>
                      <w:b/>
                      <w:bCs/>
                      <w:sz w:val="15"/>
                      <w:szCs w:val="15"/>
                    </w:rPr>
                    <w:t>因此本项目</w:t>
                  </w:r>
                  <w:r>
                    <w:rPr>
                      <w:rFonts w:hint="eastAsia" w:ascii="宋体" w:hAnsi="宋体"/>
                      <w:b/>
                      <w:bCs/>
                      <w:sz w:val="15"/>
                      <w:szCs w:val="15"/>
                    </w:rPr>
                    <w:t>不需</w:t>
                  </w:r>
                  <w:r>
                    <w:rPr>
                      <w:rFonts w:ascii="宋体" w:hAnsi="宋体"/>
                      <w:b/>
                      <w:bCs/>
                      <w:sz w:val="15"/>
                      <w:szCs w:val="15"/>
                    </w:rPr>
                    <w:t>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地表水</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新增工业废水直排建设项目（槽罐车外送污水处理厂的除外）；新增废水直排的污水集中处理厂</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本项目生产废水进入洗涤废水处理池处理后，一同经管道进入东岳场镇污水处理厂处理，</w:t>
                  </w:r>
                  <w:r>
                    <w:rPr>
                      <w:rFonts w:hint="eastAsia" w:ascii="宋体" w:hAnsi="宋体"/>
                      <w:sz w:val="15"/>
                      <w:szCs w:val="15"/>
                    </w:rPr>
                    <w:t>不新增工业废水直排，生活污水通过拉运进入东岳场镇污水处理厂</w:t>
                  </w:r>
                  <w:r>
                    <w:rPr>
                      <w:rFonts w:ascii="宋体" w:hAnsi="宋体"/>
                      <w:sz w:val="15"/>
                      <w:szCs w:val="15"/>
                    </w:rPr>
                    <w:t>。</w:t>
                  </w:r>
                  <w:r>
                    <w:rPr>
                      <w:rFonts w:ascii="宋体" w:hAnsi="宋体"/>
                      <w:b/>
                      <w:bCs/>
                      <w:sz w:val="15"/>
                      <w:szCs w:val="15"/>
                    </w:rPr>
                    <w:t>故本项目无需开展地表水专项评价。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环境风险</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有毒有害和易燃易爆危险物质存储量超过临界量</w:t>
                  </w:r>
                  <w:r>
                    <w:rPr>
                      <w:sz w:val="15"/>
                      <w:szCs w:val="15"/>
                      <w:vertAlign w:val="superscript"/>
                    </w:rPr>
                    <w:t>3</w:t>
                  </w:r>
                  <w:r>
                    <w:rPr>
                      <w:rFonts w:ascii="宋体" w:hAnsi="宋体"/>
                      <w:sz w:val="15"/>
                      <w:szCs w:val="15"/>
                    </w:rPr>
                    <w:t>的建设项目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53" w:leftChars="-25" w:right="-53" w:rightChars="-25"/>
                    <w:jc w:val="left"/>
                    <w:rPr>
                      <w:sz w:val="15"/>
                      <w:szCs w:val="15"/>
                    </w:rPr>
                  </w:pPr>
                  <w:r>
                    <w:rPr>
                      <w:rFonts w:ascii="宋体" w:hAnsi="宋体"/>
                      <w:sz w:val="15"/>
                      <w:szCs w:val="15"/>
                    </w:rPr>
                    <w:t>本项目</w:t>
                  </w:r>
                  <w:r>
                    <w:rPr>
                      <w:rFonts w:hint="eastAsia" w:ascii="宋体" w:hAnsi="宋体"/>
                      <w:sz w:val="15"/>
                      <w:szCs w:val="15"/>
                    </w:rPr>
                    <w:t>不涉及储存</w:t>
                  </w:r>
                  <w:r>
                    <w:rPr>
                      <w:rFonts w:ascii="宋体" w:hAnsi="宋体"/>
                      <w:sz w:val="15"/>
                      <w:szCs w:val="15"/>
                    </w:rPr>
                    <w:t>有毒有害和易燃易爆危险物质，</w:t>
                  </w:r>
                  <w:r>
                    <w:rPr>
                      <w:rFonts w:ascii="宋体" w:hAnsi="宋体"/>
                      <w:b/>
                      <w:bCs/>
                      <w:sz w:val="15"/>
                      <w:szCs w:val="15"/>
                    </w:rPr>
                    <w:t>故本项目无需开展环境风险专项评价。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生态</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取水口下游</w:t>
                  </w:r>
                  <w:r>
                    <w:rPr>
                      <w:sz w:val="15"/>
                      <w:szCs w:val="15"/>
                    </w:rPr>
                    <w:t>500</w:t>
                  </w:r>
                  <w:r>
                    <w:rPr>
                      <w:rFonts w:ascii="宋体" w:hAnsi="宋体"/>
                      <w:sz w:val="15"/>
                      <w:szCs w:val="15"/>
                    </w:rPr>
                    <w:t>米范围内有重要水生生物的自然产卵场、索饵场、越冬场和洄游通道的新增河道取水的污染类建设项目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本项目不涉及取水，</w:t>
                  </w:r>
                  <w:r>
                    <w:rPr>
                      <w:rFonts w:ascii="宋体" w:hAnsi="宋体"/>
                      <w:b/>
                      <w:bCs/>
                      <w:sz w:val="15"/>
                      <w:szCs w:val="15"/>
                    </w:rPr>
                    <w:t>故本项目无需开展生态专项评价。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海洋</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直接向海排放污染物的海洋工程建设项目</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本项目不属于海洋工程建设项目，</w:t>
                  </w:r>
                  <w:r>
                    <w:rPr>
                      <w:rFonts w:ascii="宋体" w:hAnsi="宋体"/>
                      <w:b/>
                      <w:bCs/>
                      <w:sz w:val="15"/>
                      <w:szCs w:val="15"/>
                    </w:rPr>
                    <w:t>故本项目无需开展海洋专项评价。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2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center"/>
                    <w:rPr>
                      <w:sz w:val="15"/>
                      <w:szCs w:val="15"/>
                    </w:rPr>
                  </w:pPr>
                  <w:r>
                    <w:rPr>
                      <w:rFonts w:ascii="宋体" w:hAnsi="宋体"/>
                      <w:sz w:val="15"/>
                      <w:szCs w:val="15"/>
                    </w:rPr>
                    <w:t>地下水</w:t>
                  </w:r>
                </w:p>
              </w:tc>
              <w:tc>
                <w:tcPr>
                  <w:tcW w:w="255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涉及集中式饮用水水源和热水、矿泉水、温泉等特殊地下水资源保护区</w:t>
                  </w:r>
                </w:p>
              </w:tc>
              <w:tc>
                <w:tcPr>
                  <w:tcW w:w="302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本项目不涉及集中式饮用水水源和热水、矿泉水、温泉等特殊地下水资源保护区，</w:t>
                  </w:r>
                  <w:r>
                    <w:rPr>
                      <w:rFonts w:ascii="宋体" w:hAnsi="宋体"/>
                      <w:b/>
                      <w:bCs/>
                      <w:sz w:val="15"/>
                      <w:szCs w:val="15"/>
                    </w:rPr>
                    <w:t>故无需开展地下水专项评价。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402" w:type="dxa"/>
                  <w:gridSpan w:val="3"/>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53" w:leftChars="-25" w:right="-53" w:rightChars="-25"/>
                    <w:jc w:val="left"/>
                    <w:rPr>
                      <w:sz w:val="15"/>
                      <w:szCs w:val="15"/>
                    </w:rPr>
                  </w:pPr>
                  <w:r>
                    <w:rPr>
                      <w:rFonts w:ascii="宋体" w:hAnsi="宋体"/>
                      <w:sz w:val="15"/>
                      <w:szCs w:val="15"/>
                    </w:rPr>
                    <w:t>注：</w:t>
                  </w:r>
                  <w:r>
                    <w:rPr>
                      <w:sz w:val="15"/>
                      <w:szCs w:val="15"/>
                    </w:rPr>
                    <w:t>1.</w:t>
                  </w:r>
                  <w:r>
                    <w:rPr>
                      <w:rFonts w:ascii="宋体" w:hAnsi="宋体"/>
                      <w:sz w:val="15"/>
                      <w:szCs w:val="15"/>
                    </w:rPr>
                    <w:t>废气中有毒有害污染物指纳入《有毒有害大气污染物名录》的污染物（不包括无排放标准的污染物）。</w:t>
                  </w:r>
                  <w:r>
                    <w:rPr>
                      <w:sz w:val="15"/>
                      <w:szCs w:val="15"/>
                    </w:rPr>
                    <w:t>2.</w:t>
                  </w:r>
                  <w:r>
                    <w:rPr>
                      <w:rFonts w:ascii="宋体" w:hAnsi="宋体"/>
                      <w:sz w:val="15"/>
                      <w:szCs w:val="15"/>
                    </w:rPr>
                    <w:t>环境空气保护目标指自然保护区、风景名胜区、居住区、文化区和农村地区中人群较集中的区域。</w:t>
                  </w:r>
                  <w:r>
                    <w:rPr>
                      <w:sz w:val="15"/>
                      <w:szCs w:val="15"/>
                    </w:rPr>
                    <w:t>3.</w:t>
                  </w:r>
                  <w:r>
                    <w:rPr>
                      <w:rFonts w:ascii="宋体" w:hAnsi="宋体"/>
                      <w:sz w:val="15"/>
                      <w:szCs w:val="15"/>
                    </w:rPr>
                    <w:t>临界量及其计算方法可参考《建设项目环境风险评价技术导则》（</w:t>
                  </w:r>
                  <w:r>
                    <w:rPr>
                      <w:sz w:val="15"/>
                      <w:szCs w:val="15"/>
                    </w:rPr>
                    <w:t>HJ 169</w:t>
                  </w:r>
                  <w:r>
                    <w:rPr>
                      <w:rFonts w:ascii="宋体" w:hAnsi="宋体"/>
                      <w:sz w:val="15"/>
                      <w:szCs w:val="15"/>
                    </w:rPr>
                    <w:t>）附录</w:t>
                  </w:r>
                  <w:r>
                    <w:rPr>
                      <w:sz w:val="15"/>
                      <w:szCs w:val="15"/>
                    </w:rPr>
                    <w:t>B</w:t>
                  </w:r>
                  <w:r>
                    <w:rPr>
                      <w:rFonts w:ascii="宋体" w:hAnsi="宋体"/>
                      <w:sz w:val="15"/>
                      <w:szCs w:val="15"/>
                    </w:rPr>
                    <w:t>、附录</w:t>
                  </w:r>
                  <w:r>
                    <w:rPr>
                      <w:sz w:val="15"/>
                      <w:szCs w:val="15"/>
                    </w:rPr>
                    <w:t>C</w:t>
                  </w:r>
                  <w:r>
                    <w:rPr>
                      <w:rFonts w:ascii="宋体" w:hAnsi="宋体"/>
                      <w:sz w:val="15"/>
                      <w:szCs w:val="15"/>
                    </w:rPr>
                    <w:t>。</w:t>
                  </w:r>
                </w:p>
              </w:tc>
            </w:tr>
          </w:tbl>
          <w:p>
            <w:pPr>
              <w:pStyle w:val="15"/>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60" w:lineRule="auto"/>
              <w:jc w:val="center"/>
              <w:rPr>
                <w:kern w:val="0"/>
                <w:szCs w:val="21"/>
              </w:rPr>
            </w:pPr>
            <w:r>
              <w:rPr>
                <w:szCs w:val="21"/>
              </w:rPr>
              <w:t>规划情况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20" w:lineRule="exact"/>
              <w:ind w:firstLine="420" w:firstLineChars="200"/>
              <w:rPr>
                <w:kern w:val="0"/>
                <w:szCs w:val="21"/>
              </w:rPr>
            </w:pP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20" w:lineRule="exact"/>
              <w:ind w:left="-53" w:leftChars="-25" w:right="-53" w:rightChars="-25"/>
              <w:jc w:val="center"/>
              <w:rPr>
                <w:szCs w:val="21"/>
              </w:rPr>
            </w:pPr>
            <w:r>
              <w:rPr>
                <w:rFonts w:hint="eastAsia" w:ascii="宋体" w:hAnsi="宋体"/>
              </w:rPr>
              <w:t>规划环境影响</w:t>
            </w:r>
          </w:p>
          <w:p>
            <w:pPr>
              <w:adjustRightInd w:val="0"/>
              <w:snapToGrid w:val="0"/>
              <w:spacing w:line="320" w:lineRule="exact"/>
              <w:ind w:left="-53" w:leftChars="-25" w:right="-53" w:rightChars="-25"/>
              <w:jc w:val="center"/>
              <w:rPr>
                <w:kern w:val="0"/>
                <w:szCs w:val="21"/>
              </w:rPr>
            </w:pPr>
            <w:r>
              <w:rPr>
                <w:rFonts w:hint="eastAsia" w:ascii="宋体" w:hAnsi="宋体"/>
              </w:rPr>
              <w:t>评价情况</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ind w:firstLine="420" w:firstLineChars="200"/>
              <w:rPr>
                <w:kern w:val="0"/>
                <w:szCs w:val="21"/>
              </w:rPr>
            </w:pP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5" w:hRule="atLeast"/>
          <w:jc w:val="center"/>
        </w:trPr>
        <w:tc>
          <w:tcPr>
            <w:tcW w:w="2140"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r>
              <w:rPr>
                <w:kern w:val="0"/>
                <w:szCs w:val="21"/>
              </w:rPr>
              <w:t>规划及规划环境</w:t>
            </w:r>
          </w:p>
          <w:p>
            <w:pPr>
              <w:autoSpaceDE w:val="0"/>
              <w:autoSpaceDN w:val="0"/>
              <w:adjustRightInd w:val="0"/>
              <w:snapToGrid w:val="0"/>
              <w:jc w:val="center"/>
            </w:pPr>
            <w:r>
              <w:rPr>
                <w:kern w:val="0"/>
                <w:szCs w:val="21"/>
              </w:rPr>
              <w:t>影响评价符合性分析</w:t>
            </w:r>
          </w:p>
        </w:tc>
        <w:tc>
          <w:tcPr>
            <w:tcW w:w="6730"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ind w:firstLine="420" w:firstLineChars="200"/>
              <w:rPr>
                <w:kern w:val="0"/>
                <w:szCs w:val="21"/>
              </w:rPr>
            </w:pP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140"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kern w:val="0"/>
                <w:szCs w:val="21"/>
              </w:rPr>
            </w:pPr>
          </w:p>
          <w:p>
            <w:pPr>
              <w:pStyle w:val="15"/>
              <w:spacing w:after="0" w:line="240" w:lineRule="exact"/>
            </w:pPr>
          </w:p>
          <w:p>
            <w:pPr>
              <w:autoSpaceDE w:val="0"/>
              <w:autoSpaceDN w:val="0"/>
              <w:adjustRightInd w:val="0"/>
              <w:snapToGrid w:val="0"/>
              <w:jc w:val="center"/>
              <w:rPr>
                <w:kern w:val="0"/>
                <w:szCs w:val="21"/>
              </w:rPr>
            </w:pPr>
          </w:p>
          <w:p>
            <w:pPr>
              <w:pStyle w:val="15"/>
            </w:pPr>
          </w:p>
          <w:p>
            <w:pPr>
              <w:pStyle w:val="15"/>
            </w:pPr>
          </w:p>
          <w:p>
            <w:pPr>
              <w:pStyle w:val="15"/>
            </w:pPr>
          </w:p>
          <w:p>
            <w:pPr>
              <w:autoSpaceDE w:val="0"/>
              <w:autoSpaceDN w:val="0"/>
              <w:adjustRightInd w:val="0"/>
              <w:snapToGrid w:val="0"/>
              <w:jc w:val="center"/>
              <w:rPr>
                <w:kern w:val="0"/>
                <w:szCs w:val="21"/>
              </w:rPr>
            </w:pPr>
            <w:r>
              <w:rPr>
                <w:kern w:val="0"/>
                <w:szCs w:val="21"/>
              </w:rPr>
              <w:t>其他符合性分析</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240" w:lineRule="exact"/>
              <w:ind w:left="0" w:leftChars="0"/>
              <w:rPr>
                <w:kern w:val="0"/>
                <w:szCs w:val="21"/>
              </w:rPr>
            </w:pPr>
          </w:p>
          <w:p>
            <w:pPr>
              <w:pStyle w:val="15"/>
              <w:spacing w:after="0" w:line="240" w:lineRule="exact"/>
              <w:ind w:left="0" w:leftChars="0"/>
              <w:rPr>
                <w:kern w:val="0"/>
                <w:szCs w:val="21"/>
              </w:rPr>
            </w:pPr>
          </w:p>
          <w:p>
            <w:pPr>
              <w:pStyle w:val="15"/>
              <w:spacing w:after="0" w:line="240" w:lineRule="exact"/>
              <w:ind w:left="0" w:leftChars="0"/>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pPr>
            <w:r>
              <w:rPr>
                <w:kern w:val="0"/>
                <w:szCs w:val="21"/>
              </w:rPr>
              <w:t>其他符合性分析</w:t>
            </w:r>
          </w:p>
          <w:p>
            <w:pPr>
              <w:pStyle w:val="15"/>
            </w:pPr>
          </w:p>
          <w:p>
            <w:pPr>
              <w:pStyle w:val="15"/>
            </w:pPr>
          </w:p>
          <w:p>
            <w:pPr>
              <w:pStyle w:val="15"/>
            </w:pPr>
          </w:p>
          <w:p>
            <w:pPr>
              <w:pStyle w:val="15"/>
            </w:pPr>
          </w:p>
          <w:p>
            <w:pPr>
              <w:pStyle w:val="15"/>
            </w:pPr>
          </w:p>
          <w:p>
            <w:pPr>
              <w:pStyle w:val="15"/>
            </w:pPr>
          </w:p>
          <w:p>
            <w:pPr>
              <w:pStyle w:val="15"/>
              <w:spacing w:after="0" w:line="100" w:lineRule="exact"/>
            </w:pPr>
          </w:p>
          <w:p>
            <w:pPr>
              <w:pStyle w:val="15"/>
              <w:spacing w:after="0" w:line="100" w:lineRule="exact"/>
            </w:pPr>
          </w:p>
          <w:p>
            <w:pPr>
              <w:pStyle w:val="15"/>
              <w:spacing w:after="0" w:line="100" w:lineRule="exact"/>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rPr>
                <w:kern w:val="0"/>
                <w:szCs w:val="21"/>
              </w:rPr>
            </w:pPr>
          </w:p>
          <w:p>
            <w:pPr>
              <w:pStyle w:val="15"/>
              <w:spacing w:after="0" w:line="240" w:lineRule="exact"/>
              <w:ind w:left="0" w:leftChars="0"/>
              <w:jc w:val="center"/>
            </w:pPr>
            <w:r>
              <w:rPr>
                <w:kern w:val="0"/>
                <w:szCs w:val="21"/>
              </w:rPr>
              <w:t>其他符合性分析</w:t>
            </w:r>
          </w:p>
          <w:p>
            <w:pPr>
              <w:pStyle w:val="15"/>
            </w:pPr>
          </w:p>
          <w:p>
            <w:pPr>
              <w:pStyle w:val="15"/>
            </w:pPr>
          </w:p>
          <w:p>
            <w:pPr>
              <w:pStyle w:val="15"/>
            </w:pPr>
          </w:p>
          <w:p>
            <w:pPr>
              <w:pStyle w:val="15"/>
            </w:pPr>
          </w:p>
          <w:p>
            <w:pPr>
              <w:pStyle w:val="15"/>
            </w:pPr>
          </w:p>
          <w:p>
            <w:pPr>
              <w:pStyle w:val="15"/>
            </w:pPr>
          </w:p>
        </w:tc>
        <w:tc>
          <w:tcPr>
            <w:tcW w:w="6730"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pStyle w:val="5"/>
              <w:numPr>
                <w:ilvl w:val="3"/>
                <w:numId w:val="0"/>
              </w:numPr>
              <w:spacing w:before="0" w:line="410" w:lineRule="exact"/>
              <w:rPr>
                <w:rFonts w:eastAsia="黑体"/>
                <w:b w:val="0"/>
                <w:bCs/>
                <w:sz w:val="21"/>
                <w:szCs w:val="21"/>
              </w:rPr>
            </w:pPr>
            <w:r>
              <w:rPr>
                <w:rFonts w:hint="eastAsia" w:eastAsia="黑体"/>
                <w:b w:val="0"/>
                <w:bCs/>
                <w:sz w:val="21"/>
                <w:szCs w:val="21"/>
              </w:rPr>
              <w:t>1、产业政策的符合性分析</w:t>
            </w:r>
          </w:p>
          <w:p>
            <w:pPr>
              <w:autoSpaceDE w:val="0"/>
              <w:autoSpaceDN w:val="0"/>
              <w:adjustRightInd w:val="0"/>
              <w:snapToGrid w:val="0"/>
              <w:spacing w:line="400" w:lineRule="exact"/>
              <w:ind w:firstLine="420" w:firstLineChars="200"/>
              <w:rPr>
                <w:kern w:val="0"/>
                <w:szCs w:val="21"/>
              </w:rPr>
            </w:pPr>
            <w:r>
              <w:rPr>
                <w:rFonts w:hint="eastAsia"/>
                <w:kern w:val="0"/>
                <w:szCs w:val="21"/>
              </w:rPr>
              <w:t>本项目为达州市通川区洁泰洗涤厂新建2吨备用天然气锅炉项目，根据《产业结构调整指导目录（2019年本）》，本项目不属于其“鼓励类”、“限制类”及“淘汰类”中规定的项目类别，属于允许建设项目。</w:t>
            </w:r>
          </w:p>
          <w:p>
            <w:pPr>
              <w:autoSpaceDE w:val="0"/>
              <w:autoSpaceDN w:val="0"/>
              <w:adjustRightInd w:val="0"/>
              <w:snapToGrid w:val="0"/>
              <w:spacing w:line="400" w:lineRule="exact"/>
              <w:ind w:firstLine="420" w:firstLineChars="200"/>
              <w:rPr>
                <w:kern w:val="0"/>
                <w:szCs w:val="21"/>
              </w:rPr>
            </w:pPr>
            <w:r>
              <w:rPr>
                <w:rFonts w:hint="eastAsia"/>
                <w:kern w:val="0"/>
                <w:szCs w:val="21"/>
              </w:rPr>
              <w:t>因此，本项目与国家现行的产业政策是相符的。</w:t>
            </w:r>
          </w:p>
          <w:p>
            <w:pPr>
              <w:adjustRightInd w:val="0"/>
              <w:snapToGrid w:val="0"/>
              <w:spacing w:line="410" w:lineRule="exact"/>
              <w:ind w:left="-53" w:leftChars="-25" w:right="-53" w:rightChars="-25"/>
              <w:jc w:val="left"/>
              <w:rPr>
                <w:rFonts w:eastAsia="黑体" w:cs="宋体"/>
                <w:bCs/>
                <w:szCs w:val="21"/>
              </w:rPr>
            </w:pPr>
            <w:r>
              <w:rPr>
                <w:rFonts w:hint="eastAsia" w:eastAsia="黑体" w:cs="宋体"/>
                <w:bCs/>
                <w:szCs w:val="21"/>
              </w:rPr>
              <w:t>2、与“三线一单”的符合性分析</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（1）与达州市“三线一单”的符合性</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“三线一单”是指生态保护红线、环境质量底线、资源利用上线和生态环境准入清单，是推进生态环境保护精细化管理、强化国土空间环境管控、推进绿色发展高质量发展的一项重要工作。</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10" w:lineRule="exact"/>
              <w:ind w:firstLine="420" w:firstLineChars="200"/>
              <w:jc w:val="left"/>
              <w:rPr>
                <w:rFonts w:cs="宋体"/>
                <w:kern w:val="0"/>
                <w:szCs w:val="21"/>
              </w:rPr>
            </w:pPr>
            <w:r>
              <w:rPr>
                <w:rFonts w:hint="eastAsia" w:cs="宋体"/>
                <w:kern w:val="0"/>
                <w:szCs w:val="21"/>
              </w:rPr>
              <w:t>根据《长江经济带战略环境评价四川省达州市“三线一单”生态环境分区管控优化完善研究报告》，达州市生态保护红线面积1214.56km</w:t>
            </w:r>
            <w:r>
              <w:rPr>
                <w:rFonts w:hint="eastAsia" w:cs="宋体"/>
                <w:kern w:val="0"/>
                <w:szCs w:val="21"/>
                <w:vertAlign w:val="superscript"/>
              </w:rPr>
              <w:t>2</w:t>
            </w:r>
            <w:r>
              <w:rPr>
                <w:rFonts w:hint="eastAsia" w:cs="宋体"/>
                <w:kern w:val="0"/>
                <w:szCs w:val="21"/>
              </w:rPr>
              <w:t>，占达州市国土面积比例的7.33%。达州市生态保护红线图如下。</w:t>
            </w:r>
          </w:p>
          <w:p>
            <w:pPr>
              <w:autoSpaceDE w:val="0"/>
              <w:autoSpaceDN w:val="0"/>
              <w:adjustRightInd w:val="0"/>
              <w:snapToGrid w:val="0"/>
              <w:jc w:val="center"/>
              <w:rPr>
                <w:rFonts w:ascii="宋体" w:hAnsi="宋体" w:cs="宋体"/>
                <w:kern w:val="0"/>
                <w:szCs w:val="21"/>
              </w:rPr>
            </w:pPr>
            <w:r>
              <w:rPr>
                <w:rFonts w:ascii="宋体" w:hAnsi="宋体" w:cs="宋体"/>
                <w:kern w:val="0"/>
                <w:sz w:val="24"/>
              </w:rPr>
              <mc:AlternateContent>
                <mc:Choice Requires="wps">
                  <w:drawing>
                    <wp:anchor distT="0" distB="0" distL="114300" distR="114300" simplePos="0" relativeHeight="251661312" behindDoc="0" locked="0" layoutInCell="1" allowOverlap="1">
                      <wp:simplePos x="0" y="0"/>
                      <wp:positionH relativeFrom="column">
                        <wp:posOffset>1945005</wp:posOffset>
                      </wp:positionH>
                      <wp:positionV relativeFrom="paragraph">
                        <wp:posOffset>1910080</wp:posOffset>
                      </wp:positionV>
                      <wp:extent cx="844550" cy="257175"/>
                      <wp:effectExtent l="497840" t="574040" r="10160" b="6985"/>
                      <wp:wrapNone/>
                      <wp:docPr id="18" name="AutoShape 135"/>
                      <wp:cNvGraphicFramePr/>
                      <a:graphic xmlns:a="http://schemas.openxmlformats.org/drawingml/2006/main">
                        <a:graphicData uri="http://schemas.microsoft.com/office/word/2010/wordprocessingShape">
                          <wps:wsp>
                            <wps:cNvSpPr>
                              <a:spLocks noChangeArrowheads="1"/>
                            </wps:cNvSpPr>
                            <wps:spPr bwMode="auto">
                              <a:xfrm>
                                <a:off x="0" y="0"/>
                                <a:ext cx="844550" cy="257175"/>
                              </a:xfrm>
                              <a:prstGeom prst="wedgeRectCallout">
                                <a:avLst>
                                  <a:gd name="adj1" fmla="val -101653"/>
                                  <a:gd name="adj2" fmla="val -252718"/>
                                </a:avLst>
                              </a:prstGeom>
                              <a:solidFill>
                                <a:srgbClr val="FFFFFF"/>
                              </a:solidFill>
                              <a:ln w="9525">
                                <a:solidFill>
                                  <a:srgbClr val="FF0000"/>
                                </a:solidFill>
                                <a:miter lim="800000"/>
                              </a:ln>
                            </wps:spPr>
                            <wps:txbx>
                              <w:txbxContent>
                                <w:p>
                                  <w:pPr>
                                    <w:spacing w:line="200" w:lineRule="exact"/>
                                    <w:rPr>
                                      <w:b/>
                                      <w:color w:val="FF0000"/>
                                      <w:sz w:val="18"/>
                                    </w:rPr>
                                  </w:pPr>
                                  <w:r>
                                    <w:rPr>
                                      <w:b/>
                                      <w:color w:val="FF0000"/>
                                      <w:sz w:val="18"/>
                                    </w:rPr>
                                    <w:t>项目多在地</w:t>
                                  </w:r>
                                </w:p>
                              </w:txbxContent>
                            </wps:txbx>
                            <wps:bodyPr rot="0" vert="horz" wrap="square" lIns="91440" tIns="45720" rIns="91440" bIns="45720" anchor="t" anchorCtr="0" upright="1">
                              <a:noAutofit/>
                            </wps:bodyPr>
                          </wps:wsp>
                        </a:graphicData>
                      </a:graphic>
                    </wp:anchor>
                  </w:drawing>
                </mc:Choice>
                <mc:Fallback>
                  <w:pict>
                    <v:shape id="AutoShape 135" o:spid="_x0000_s1026" o:spt="61" type="#_x0000_t61" style="position:absolute;left:0pt;margin-left:153.15pt;margin-top:150.4pt;height:20.25pt;width:66.5pt;z-index:251661312;mso-width-relative:page;mso-height-relative:page;" fillcolor="#FFFFFF" filled="t" stroked="t" coordsize="21600,21600" o:gfxdata="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qE&#10;Z2rYAAAACwEAAA8AAAAAAAAAAQAgAAAAIgAAAGRycy9kb3ducmV2LnhtbFBLAQIUABQAAAAIAIdO&#10;4kB6iTo0XAIAAOAEAAAOAAAAAAAAAAEAIAAAACcBAABkcnMvZTJvRG9jLnhtbFBLBQYAAAAABgAG&#10;AFkBAAD1BQAAAAA=&#10;" adj="-11157,-43787">
                      <v:fill on="t" focussize="0,0"/>
                      <v:stroke color="#FF0000" miterlimit="8" joinstyle="miter"/>
                      <v:imagedata o:title=""/>
                      <o:lock v:ext="edit" aspectratio="f"/>
                      <v:textbox>
                        <w:txbxContent>
                          <w:p>
                            <w:pPr>
                              <w:spacing w:line="200" w:lineRule="exact"/>
                              <w:rPr>
                                <w:b/>
                                <w:color w:val="FF0000"/>
                                <w:sz w:val="18"/>
                              </w:rPr>
                            </w:pPr>
                            <w:r>
                              <w:rPr>
                                <w:b/>
                                <w:color w:val="FF0000"/>
                                <w:sz w:val="18"/>
                              </w:rPr>
                              <w:t>项目多在地</w:t>
                            </w:r>
                          </w:p>
                        </w:txbxContent>
                      </v:textbox>
                    </v:shape>
                  </w:pict>
                </mc:Fallback>
              </mc:AlternateContent>
            </w:r>
            <w:r>
              <w:rPr>
                <w:rFonts w:ascii="宋体" w:hAnsi="宋体" w:cs="宋体"/>
                <w:kern w:val="0"/>
                <w:szCs w:val="21"/>
              </w:rPr>
              <mc:AlternateContent>
                <mc:Choice Requires="wps">
                  <w:drawing>
                    <wp:anchor distT="0" distB="0" distL="114300" distR="114300" simplePos="0" relativeHeight="251662336" behindDoc="0" locked="0" layoutInCell="1" allowOverlap="1">
                      <wp:simplePos x="0" y="0"/>
                      <wp:positionH relativeFrom="column">
                        <wp:posOffset>1447165</wp:posOffset>
                      </wp:positionH>
                      <wp:positionV relativeFrom="paragraph">
                        <wp:posOffset>1341755</wp:posOffset>
                      </wp:positionV>
                      <wp:extent cx="78740" cy="85725"/>
                      <wp:effectExtent l="19050" t="24765" r="26035" b="22860"/>
                      <wp:wrapNone/>
                      <wp:docPr id="17" name="AutoShape 136"/>
                      <wp:cNvGraphicFramePr/>
                      <a:graphic xmlns:a="http://schemas.openxmlformats.org/drawingml/2006/main">
                        <a:graphicData uri="http://schemas.microsoft.com/office/word/2010/wordprocessingShape">
                          <wps:wsp>
                            <wps:cNvSpPr>
                              <a:spLocks noChangeArrowheads="1"/>
                            </wps:cNvSpPr>
                            <wps:spPr bwMode="auto">
                              <a:xfrm>
                                <a:off x="0" y="0"/>
                                <a:ext cx="78740" cy="8572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AutoShape 136" o:spid="_x0000_s1026" style="position:absolute;left:0pt;margin-left:113.95pt;margin-top:105.65pt;height:6.75pt;width:6.2pt;z-index:251662336;mso-width-relative:page;mso-height-relative:page;" fillcolor="#FF0000" filled="t" stroked="t" coordsize="78740,85725" o:gfxdata="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ae2QR&#10;2QAAAAsBAAAPAAAAAAAAAAEAIAAAACIAAABkcnMvZG93bnJldi54bWxQSwECFAAUAAAACACHTuJA&#10;GNf7wyACAABzBAAADgAAAAAAAAABACAAAAAoAQAAZHJzL2Uyb0RvYy54bWxQSwUGAAAAAAYABgBZ&#10;AQAAugUAAAAA&#10;" path="m0,32743l30076,32744,39370,0,48663,32744,78739,32743,54407,52980,63701,85724,39370,65487,15038,85724,24332,52980xe">
                      <v:path o:connectlocs="39370,0;0,32743;15038,85724;63701,85724;78739,32743" o:connectangles="247,164,82,82,0"/>
                      <v:fill on="t" focussize="0,0"/>
                      <v:stroke color="#FF0000" miterlimit="8" joinstyle="miter"/>
                      <v:imagedata o:title=""/>
                      <o:lock v:ext="edit" aspectratio="f"/>
                    </v:shape>
                  </w:pict>
                </mc:Fallback>
              </mc:AlternateContent>
            </w:r>
            <w:r>
              <w:rPr>
                <w:rFonts w:ascii="宋体" w:hAnsi="宋体" w:cs="宋体"/>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pPr>
              <w:autoSpaceDE w:val="0"/>
              <w:autoSpaceDN w:val="0"/>
              <w:adjustRightInd w:val="0"/>
              <w:snapToGrid w:val="0"/>
              <w:spacing w:line="410" w:lineRule="exact"/>
              <w:ind w:firstLine="420" w:firstLineChars="200"/>
              <w:jc w:val="left"/>
              <w:rPr>
                <w:rFonts w:ascii="宋体" w:hAnsi="宋体" w:cs="宋体"/>
                <w:kern w:val="0"/>
                <w:szCs w:val="21"/>
              </w:rPr>
            </w:pPr>
            <w:r>
              <w:rPr>
                <w:rFonts w:ascii="宋体" w:hAnsi="宋体" w:cs="宋体"/>
                <w:kern w:val="0"/>
                <w:szCs w:val="21"/>
              </w:rPr>
              <mc:AlternateContent>
                <mc:Choice Requires="wps">
                  <w:drawing>
                    <wp:anchor distT="0" distB="0" distL="114300" distR="114300" simplePos="0" relativeHeight="251663360" behindDoc="0" locked="0" layoutInCell="1" allowOverlap="1">
                      <wp:simplePos x="0" y="0"/>
                      <wp:positionH relativeFrom="column">
                        <wp:posOffset>162560</wp:posOffset>
                      </wp:positionH>
                      <wp:positionV relativeFrom="paragraph">
                        <wp:posOffset>-2540</wp:posOffset>
                      </wp:positionV>
                      <wp:extent cx="3811270" cy="327660"/>
                      <wp:effectExtent l="1270" t="4445" r="0" b="1270"/>
                      <wp:wrapNone/>
                      <wp:docPr id="16" name="Text Box 137"/>
                      <wp:cNvGraphicFramePr/>
                      <a:graphic xmlns:a="http://schemas.openxmlformats.org/drawingml/2006/main">
                        <a:graphicData uri="http://schemas.microsoft.com/office/word/2010/wordprocessingShape">
                          <wps:wsp>
                            <wps:cNvSpPr txBox="1">
                              <a:spLocks noChangeArrowheads="1"/>
                            </wps:cNvSpPr>
                            <wps:spPr bwMode="auto">
                              <a:xfrm>
                                <a:off x="0" y="0"/>
                                <a:ext cx="3811270" cy="327660"/>
                              </a:xfrm>
                              <a:prstGeom prst="rect">
                                <a:avLst/>
                              </a:prstGeom>
                              <a:noFill/>
                              <a:ln>
                                <a:noFill/>
                              </a:ln>
                            </wps:spPr>
                            <wps:txbx>
                              <w:txbxContent>
                                <w:p>
                                  <w:pPr>
                                    <w:jc w:val="center"/>
                                    <w:rPr>
                                      <w:rFonts w:ascii="黑体" w:hAnsi="黑体" w:eastAsia="黑体"/>
                                      <w:sz w:val="18"/>
                                    </w:rPr>
                                  </w:pPr>
                                  <w:r>
                                    <w:rPr>
                                      <w:rFonts w:hint="eastAsia" w:ascii="黑体" w:hAnsi="黑体" w:eastAsia="黑体"/>
                                      <w:sz w:val="18"/>
                                    </w:rPr>
                                    <w:t>附图1-1   达州市生态保护红线分布图</w:t>
                                  </w:r>
                                </w:p>
                              </w:txbxContent>
                            </wps:txbx>
                            <wps:bodyPr rot="0" vert="horz" wrap="square" lIns="91440" tIns="45720" rIns="91440" bIns="45720" anchor="t" anchorCtr="0" upright="1">
                              <a:noAutofit/>
                            </wps:bodyPr>
                          </wps:wsp>
                        </a:graphicData>
                      </a:graphic>
                    </wp:anchor>
                  </w:drawing>
                </mc:Choice>
                <mc:Fallback>
                  <w:pict>
                    <v:shape id="Text Box 137" o:spid="_x0000_s1026" o:spt="202" type="#_x0000_t202" style="position:absolute;left:0pt;margin-left:12.8pt;margin-top:-0.2pt;height:25.8pt;width:300.1pt;z-index:251663360;mso-width-relative:page;mso-height-relative:page;" filled="f" stroked="f" coordsize="21600,21600" o:gfxdata="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&#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6BCD1QAAAAcBAAAPAAAAAAAAAAEAIAAAACIAAABk&#10;cnMvZG93bnJldi54bWxQSwECFAAUAAAACACHTuJA+2TD7AkCAAAXBAAADgAAAAAAAAABACAAAAAk&#10;AQAAZHJzL2Uyb0RvYy54bWxQSwUGAAAAAAYABgBZAQAAnwUAAAAA&#10;">
                      <v:fill on="f" focussize="0,0"/>
                      <v:stroke on="f"/>
                      <v:imagedata o:title=""/>
                      <o:lock v:ext="edit" aspectratio="f"/>
                      <v:textbox>
                        <w:txbxContent>
                          <w:p>
                            <w:pPr>
                              <w:jc w:val="center"/>
                              <w:rPr>
                                <w:rFonts w:ascii="黑体" w:hAnsi="黑体" w:eastAsia="黑体"/>
                                <w:sz w:val="18"/>
                              </w:rPr>
                            </w:pPr>
                            <w:r>
                              <w:rPr>
                                <w:rFonts w:hint="eastAsia" w:ascii="黑体" w:hAnsi="黑体" w:eastAsia="黑体"/>
                                <w:sz w:val="18"/>
                              </w:rPr>
                              <w:t>附图1-1   达州市生态保护红线分布图</w:t>
                            </w:r>
                          </w:p>
                        </w:txbxContent>
                      </v:textbox>
                    </v:shape>
                  </w:pict>
                </mc:Fallback>
              </mc:AlternateConten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由上图可知，项目占地范围不涉及达州市生态保护红线。</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（2）项目所属环境管控单元</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优先保护单元。</w:t>
            </w:r>
            <w:r>
              <w:rPr>
                <w:rFonts w:hint="eastAsia" w:ascii="宋体" w:hAnsi="宋体" w:cs="宋体"/>
                <w:kern w:val="0"/>
                <w:szCs w:val="21"/>
              </w:rPr>
              <w:t>以生态环境保护为主的区域，全市划分优先保护单元17个，主要包括生态保护红线、自然保护地、饮用水水源保护区等。</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重点管控单元。</w:t>
            </w:r>
            <w:r>
              <w:rPr>
                <w:rFonts w:hint="eastAsia" w:ascii="宋体" w:hAnsi="宋体" w:cs="宋体"/>
                <w:kern w:val="0"/>
                <w:szCs w:val="21"/>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10" w:lineRule="exact"/>
              <w:ind w:firstLine="422" w:firstLineChars="200"/>
              <w:jc w:val="left"/>
              <w:rPr>
                <w:rFonts w:ascii="宋体" w:hAnsi="宋体" w:cs="宋体"/>
                <w:kern w:val="0"/>
                <w:szCs w:val="21"/>
              </w:rPr>
            </w:pPr>
            <w:r>
              <w:rPr>
                <w:rFonts w:hint="eastAsia" w:ascii="宋体" w:hAnsi="宋体" w:cs="宋体"/>
                <w:b/>
                <w:kern w:val="0"/>
                <w:szCs w:val="21"/>
              </w:rPr>
              <w:t>一般管控单元。</w:t>
            </w:r>
            <w:r>
              <w:rPr>
                <w:rFonts w:hint="eastAsia" w:ascii="宋体" w:hAnsi="宋体" w:cs="宋体"/>
                <w:kern w:val="0"/>
                <w:szCs w:val="21"/>
              </w:rPr>
              <w:t>除优先保护单元和重点管控单元之外的其他区域，全市共划分一般管控单元7个。</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本项目位于达州市通川区东岳镇飞进村7组，属于环境综合管控单元城镇重点管控单元。</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项目与环境管控单元相对位置如下图：</w:t>
            </w:r>
          </w:p>
          <w:p>
            <w:r>
              <mc:AlternateContent>
                <mc:Choice Requires="wps">
                  <w:drawing>
                    <wp:anchor distT="0" distB="0" distL="114300" distR="114300" simplePos="0" relativeHeight="251664384" behindDoc="0" locked="0" layoutInCell="1" allowOverlap="1">
                      <wp:simplePos x="0" y="0"/>
                      <wp:positionH relativeFrom="column">
                        <wp:posOffset>1715770</wp:posOffset>
                      </wp:positionH>
                      <wp:positionV relativeFrom="paragraph">
                        <wp:posOffset>670560</wp:posOffset>
                      </wp:positionV>
                      <wp:extent cx="267335" cy="412750"/>
                      <wp:effectExtent l="11430" t="42545" r="54610" b="11430"/>
                      <wp:wrapNone/>
                      <wp:docPr id="15" name="AutoShape 138"/>
                      <wp:cNvGraphicFramePr/>
                      <a:graphic xmlns:a="http://schemas.openxmlformats.org/drawingml/2006/main">
                        <a:graphicData uri="http://schemas.microsoft.com/office/word/2010/wordprocessingShape">
                          <wps:wsp>
                            <wps:cNvCnPr>
                              <a:cxnSpLocks noChangeShapeType="1"/>
                            </wps:cNvCnPr>
                            <wps:spPr bwMode="auto">
                              <a:xfrm flipV="1">
                                <a:off x="0" y="0"/>
                                <a:ext cx="267335" cy="412750"/>
                              </a:xfrm>
                              <a:prstGeom prst="straightConnector1">
                                <a:avLst/>
                              </a:prstGeom>
                              <a:noFill/>
                              <a:ln w="9525">
                                <a:solidFill>
                                  <a:srgbClr val="FF0000"/>
                                </a:solidFill>
                                <a:round/>
                                <a:tailEnd type="triangle" w="med" len="med"/>
                              </a:ln>
                            </wps:spPr>
                            <wps:bodyPr/>
                          </wps:wsp>
                        </a:graphicData>
                      </a:graphic>
                    </wp:anchor>
                  </w:drawing>
                </mc:Choice>
                <mc:Fallback>
                  <w:pict>
                    <v:shape id="AutoShape 138" o:spid="_x0000_s1026" o:spt="32" type="#_x0000_t32" style="position:absolute;left:0pt;flip:y;margin-left:135.1pt;margin-top:52.8pt;height:32.5pt;width:21.05pt;z-index:251664384;mso-width-relative:page;mso-height-relative:page;" filled="f" stroked="t" coordsize="21600,21600" o:gfxdata="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08gM2QAAAAsBAAAPAAAAAAAAAAEAIAAAACIAAABkcnMvZG93&#10;bnJldi54bWxQSwECFAAUAAAACACHTuJA8kgdLP8BAADxAwAADgAAAAAAAAABACAAAAAoAQAAZHJz&#10;L2Uyb0RvYy54bWxQSwUGAAAAAAYABgBZAQAAmQUAAAAA&#10;">
                      <v:fill on="f" focussize="0,0"/>
                      <v:stroke color="#FF0000" joinstyle="round" endarrow="block"/>
                      <v:imagedata o:title=""/>
                      <o:lock v:ext="edit" aspectratio="f"/>
                    </v:shape>
                  </w:pict>
                </mc:Fallback>
              </mc:AlternateContent>
            </w:r>
            <w:r>
              <w:rPr>
                <w:rFonts w:eastAsia="黑体"/>
                <w:b/>
                <w:bCs/>
                <w:szCs w:val="21"/>
              </w:rPr>
              <mc:AlternateContent>
                <mc:Choice Requires="wps">
                  <w:drawing>
                    <wp:anchor distT="0" distB="0" distL="114300" distR="114300" simplePos="0" relativeHeight="251666432" behindDoc="0" locked="0" layoutInCell="1" allowOverlap="1">
                      <wp:simplePos x="0" y="0"/>
                      <wp:positionH relativeFrom="column">
                        <wp:posOffset>1378585</wp:posOffset>
                      </wp:positionH>
                      <wp:positionV relativeFrom="paragraph">
                        <wp:posOffset>1022350</wp:posOffset>
                      </wp:positionV>
                      <wp:extent cx="642620" cy="276225"/>
                      <wp:effectExtent l="0" t="3810" r="0" b="0"/>
                      <wp:wrapNone/>
                      <wp:docPr id="14" name="Text Box 141"/>
                      <wp:cNvGraphicFramePr/>
                      <a:graphic xmlns:a="http://schemas.openxmlformats.org/drawingml/2006/main">
                        <a:graphicData uri="http://schemas.microsoft.com/office/word/2010/wordprocessingShape">
                          <wps:wsp>
                            <wps:cNvSpPr txBox="1">
                              <a:spLocks noChangeArrowheads="1"/>
                            </wps:cNvSpPr>
                            <wps:spPr bwMode="auto">
                              <a:xfrm>
                                <a:off x="0" y="0"/>
                                <a:ext cx="642620" cy="276225"/>
                              </a:xfrm>
                              <a:prstGeom prst="rect">
                                <a:avLst/>
                              </a:prstGeom>
                              <a:noFill/>
                              <a:ln>
                                <a:noFill/>
                              </a:ln>
                            </wps:spPr>
                            <wps:txbx>
                              <w:txbxContent>
                                <w:p>
                                  <w:pPr>
                                    <w:jc w:val="center"/>
                                    <w:rPr>
                                      <w:rFonts w:ascii="黑体" w:hAnsi="黑体" w:eastAsia="黑体"/>
                                      <w:color w:val="FF0000"/>
                                      <w:sz w:val="18"/>
                                    </w:rPr>
                                  </w:pPr>
                                  <w:r>
                                    <w:rPr>
                                      <w:rFonts w:ascii="黑体" w:hAnsi="黑体" w:eastAsia="黑体"/>
                                      <w:color w:val="FF0000"/>
                                      <w:sz w:val="18"/>
                                    </w:rPr>
                                    <w:t>项目区</w:t>
                                  </w:r>
                                </w:p>
                              </w:txbxContent>
                            </wps:txbx>
                            <wps:bodyPr rot="0" vert="horz" wrap="square" lIns="91440" tIns="45720" rIns="91440" bIns="45720" anchor="t" anchorCtr="0" upright="1">
                              <a:noAutofit/>
                            </wps:bodyPr>
                          </wps:wsp>
                        </a:graphicData>
                      </a:graphic>
                    </wp:anchor>
                  </w:drawing>
                </mc:Choice>
                <mc:Fallback>
                  <w:pict>
                    <v:shape id="Text Box 141" o:spid="_x0000_s1026" o:spt="202" type="#_x0000_t202" style="position:absolute;left:0pt;margin-left:108.55pt;margin-top:80.5pt;height:21.75pt;width:50.6pt;z-index:251666432;mso-width-relative:page;mso-height-relative:page;" filled="f" stroked="f" coordsize="21600,21600" o:gfxdata="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yL29tcAAAALAQAADwAAAAAAAAABACAAAAAiAAAAZHJz&#10;L2Rvd25yZXYueG1sUEsBAhQAFAAAAAgAh07iQL9HvMkFAgAAFgQAAA4AAAAAAAAAAQAgAAAAJgEA&#10;AGRycy9lMm9Eb2MueG1sUEsFBgAAAAAGAAYAWQEAAJ0FAAAAAA==&#10;">
                      <v:fill on="f" focussize="0,0"/>
                      <v:stroke on="f"/>
                      <v:imagedata o:title=""/>
                      <o:lock v:ext="edit" aspectratio="f"/>
                      <v:textbox>
                        <w:txbxContent>
                          <w:p>
                            <w:pPr>
                              <w:jc w:val="center"/>
                              <w:rPr>
                                <w:rFonts w:ascii="黑体" w:hAnsi="黑体" w:eastAsia="黑体"/>
                                <w:color w:val="FF0000"/>
                                <w:sz w:val="18"/>
                              </w:rPr>
                            </w:pPr>
                            <w:r>
                              <w:rPr>
                                <w:rFonts w:ascii="黑体" w:hAnsi="黑体" w:eastAsia="黑体"/>
                                <w:color w:val="FF0000"/>
                                <w:sz w:val="18"/>
                              </w:rPr>
                              <w:t>项目区</w:t>
                            </w:r>
                          </w:p>
                        </w:txbxContent>
                      </v:textbox>
                    </v:shape>
                  </w:pict>
                </mc:Fallback>
              </mc:AlternateContent>
            </w:r>
            <w:r>
              <w:rPr>
                <w:rFonts w:eastAsia="黑体"/>
                <w:b/>
                <w:bCs/>
                <w:szCs w:val="21"/>
              </w:rPr>
              <mc:AlternateContent>
                <mc:Choice Requires="wps">
                  <w:drawing>
                    <wp:anchor distT="0" distB="0" distL="114300" distR="114300" simplePos="0" relativeHeight="251665408" behindDoc="0" locked="0" layoutInCell="1" allowOverlap="1">
                      <wp:simplePos x="0" y="0"/>
                      <wp:positionH relativeFrom="column">
                        <wp:posOffset>213995</wp:posOffset>
                      </wp:positionH>
                      <wp:positionV relativeFrom="paragraph">
                        <wp:posOffset>2454910</wp:posOffset>
                      </wp:positionV>
                      <wp:extent cx="3811270" cy="327660"/>
                      <wp:effectExtent l="0" t="0" r="3175" b="0"/>
                      <wp:wrapNone/>
                      <wp:docPr id="13" name="Text Box 139"/>
                      <wp:cNvGraphicFramePr/>
                      <a:graphic xmlns:a="http://schemas.openxmlformats.org/drawingml/2006/main">
                        <a:graphicData uri="http://schemas.microsoft.com/office/word/2010/wordprocessingShape">
                          <wps:wsp>
                            <wps:cNvSpPr txBox="1">
                              <a:spLocks noChangeArrowheads="1"/>
                            </wps:cNvSpPr>
                            <wps:spPr bwMode="auto">
                              <a:xfrm>
                                <a:off x="0" y="0"/>
                                <a:ext cx="3811270" cy="327660"/>
                              </a:xfrm>
                              <a:prstGeom prst="rect">
                                <a:avLst/>
                              </a:prstGeom>
                              <a:noFill/>
                              <a:ln>
                                <a:noFill/>
                              </a:ln>
                            </wps:spPr>
                            <wps:txbx>
                              <w:txbxContent>
                                <w:p>
                                  <w:pPr>
                                    <w:jc w:val="center"/>
                                    <w:rPr>
                                      <w:rFonts w:ascii="黑体" w:hAnsi="黑体" w:eastAsia="黑体"/>
                                      <w:sz w:val="18"/>
                                    </w:rPr>
                                  </w:pPr>
                                  <w:r>
                                    <w:rPr>
                                      <w:rFonts w:hint="eastAsia" w:ascii="黑体" w:hAnsi="黑体" w:eastAsia="黑体"/>
                                      <w:sz w:val="18"/>
                                    </w:rPr>
                                    <w:t>附图1-2   项目与管控单元相对位置如下图</w:t>
                                  </w:r>
                                </w:p>
                              </w:txbxContent>
                            </wps:txbx>
                            <wps:bodyPr rot="0" vert="horz" wrap="square" lIns="91440" tIns="45720" rIns="91440" bIns="45720" anchor="t" anchorCtr="0" upright="1">
                              <a:noAutofit/>
                            </wps:bodyPr>
                          </wps:wsp>
                        </a:graphicData>
                      </a:graphic>
                    </wp:anchor>
                  </w:drawing>
                </mc:Choice>
                <mc:Fallback>
                  <w:pict>
                    <v:shape id="Text Box 139" o:spid="_x0000_s1026" o:spt="202" type="#_x0000_t202" style="position:absolute;left:0pt;margin-left:16.85pt;margin-top:193.3pt;height:25.8pt;width:300.1pt;z-index:251665408;mso-width-relative:page;mso-height-relative:page;" filled="f" stroked="f" coordsize="21600,21600" o:gfxdata="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IDtI2AAAAAoBAAAPAAAAAAAAAAEAIAAAACIA&#10;AABkcnMvZG93bnJldi54bWxQSwECFAAUAAAACACHTuJAua3NJgkCAAAXBAAADgAAAAAAAAABACAA&#10;AAAnAQAAZHJzL2Uyb0RvYy54bWxQSwUGAAAAAAYABgBZAQAAogUAAAAA&#10;">
                      <v:fill on="f" focussize="0,0"/>
                      <v:stroke on="f"/>
                      <v:imagedata o:title=""/>
                      <o:lock v:ext="edit" aspectratio="f"/>
                      <v:textbox>
                        <w:txbxContent>
                          <w:p>
                            <w:pPr>
                              <w:jc w:val="center"/>
                              <w:rPr>
                                <w:rFonts w:ascii="黑体" w:hAnsi="黑体" w:eastAsia="黑体"/>
                                <w:sz w:val="18"/>
                              </w:rPr>
                            </w:pPr>
                            <w:r>
                              <w:rPr>
                                <w:rFonts w:hint="eastAsia" w:ascii="黑体" w:hAnsi="黑体" w:eastAsia="黑体"/>
                                <w:sz w:val="18"/>
                              </w:rPr>
                              <w:t>附图1-2   项目与管控单元相对位置如下图</w:t>
                            </w:r>
                          </w:p>
                        </w:txbxContent>
                      </v:textbox>
                    </v:shape>
                  </w:pict>
                </mc:Fallback>
              </mc:AlternateContent>
            </w:r>
            <w:r>
              <w:drawing>
                <wp:inline distT="0" distB="0" distL="0" distR="0">
                  <wp:extent cx="4094480" cy="2453005"/>
                  <wp:effectExtent l="0" t="0" r="0" b="0"/>
                  <wp:docPr id="3" name="图片 3" descr="C:\Users\Administrator\AppData\Local\Temp\ksohtml1056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ksohtml10560\wp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96440" cy="2454427"/>
                          </a:xfrm>
                          <a:prstGeom prst="rect">
                            <a:avLst/>
                          </a:prstGeom>
                          <a:noFill/>
                          <a:ln>
                            <a:noFill/>
                          </a:ln>
                        </pic:spPr>
                      </pic:pic>
                    </a:graphicData>
                  </a:graphic>
                </wp:inline>
              </w:drawing>
            </w:r>
          </w:p>
          <w:p/>
          <w:p/>
          <w:p>
            <w:pPr>
              <w:autoSpaceDE w:val="0"/>
              <w:autoSpaceDN w:val="0"/>
              <w:adjustRightInd w:val="0"/>
              <w:snapToGrid w:val="0"/>
              <w:spacing w:line="404" w:lineRule="exact"/>
              <w:ind w:firstLine="420" w:firstLineChars="200"/>
              <w:rPr>
                <w:szCs w:val="21"/>
                <w:lang w:val="zh-CN"/>
              </w:rPr>
            </w:pPr>
            <w:r>
              <w:rPr>
                <w:szCs w:val="21"/>
                <w:lang w:val="zh-CN"/>
              </w:rPr>
              <w:t>项目涉及到环境管控单元</w:t>
            </w:r>
            <w:r>
              <w:rPr>
                <w:rFonts w:hint="eastAsia"/>
                <w:szCs w:val="21"/>
                <w:lang w:val="zh-CN"/>
              </w:rPr>
              <w:t>4</w:t>
            </w:r>
            <w:r>
              <w:rPr>
                <w:szCs w:val="21"/>
                <w:lang w:val="zh-CN"/>
              </w:rPr>
              <w:t>个，涉及到管控单元见下表。</w:t>
            </w:r>
          </w:p>
          <w:p>
            <w:pPr>
              <w:autoSpaceDE w:val="0"/>
              <w:autoSpaceDN w:val="0"/>
              <w:adjustRightInd w:val="0"/>
              <w:snapToGrid w:val="0"/>
              <w:spacing w:line="404" w:lineRule="exact"/>
              <w:ind w:firstLine="360" w:firstLineChars="200"/>
              <w:jc w:val="center"/>
              <w:rPr>
                <w:rFonts w:ascii="黑体" w:hAnsi="黑体" w:eastAsia="黑体" w:cs="宋体"/>
                <w:kern w:val="0"/>
                <w:sz w:val="18"/>
                <w:szCs w:val="18"/>
              </w:rPr>
            </w:pPr>
            <w:r>
              <w:rPr>
                <w:rFonts w:hint="eastAsia" w:ascii="黑体" w:hAnsi="黑体" w:eastAsia="黑体" w:cs="宋体"/>
                <w:kern w:val="0"/>
                <w:sz w:val="18"/>
                <w:szCs w:val="18"/>
              </w:rPr>
              <w:t>表1-3  本项目涉及的环境管控单元</w:t>
            </w:r>
          </w:p>
          <w:tbl>
            <w:tblPr>
              <w:tblStyle w:val="21"/>
              <w:tblW w:w="6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37"/>
              <w:gridCol w:w="892"/>
              <w:gridCol w:w="943"/>
              <w:gridCol w:w="1074"/>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2"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环境管控单元编码</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环境管控单元名称</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所属市（州）</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所属区县</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准入清单类型</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Style w:val="61"/>
                      <w:rFonts w:eastAsia="仿宋"/>
                      <w:b/>
                      <w:bCs/>
                    </w:rPr>
                  </w:pPr>
                  <w:r>
                    <w:rPr>
                      <w:rFonts w:hint="eastAsia" w:ascii="宋体" w:hAnsi="宋体"/>
                      <w:b/>
                      <w:bCs/>
                      <w:kern w:val="0"/>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ZH51170220001</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通川区中心城区</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环境管控单元</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YS5117022220001</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州河通川区车家河控制单元</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水环境管控分区</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YS5117022340005</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通川区中心城区</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大气环境管控分区</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 w:hRule="atLeast"/>
              </w:trPr>
              <w:tc>
                <w:tcPr>
                  <w:tcW w:w="109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YS5117021410001</w:t>
                  </w:r>
                </w:p>
              </w:tc>
              <w:tc>
                <w:tcPr>
                  <w:tcW w:w="113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通川区土壤优先保护区</w:t>
                  </w:r>
                </w:p>
              </w:tc>
              <w:tc>
                <w:tcPr>
                  <w:tcW w:w="89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达州市</w:t>
                  </w:r>
                </w:p>
              </w:tc>
              <w:tc>
                <w:tcPr>
                  <w:tcW w:w="94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宋体" w:hAnsi="宋体"/>
                      <w:bCs/>
                      <w:kern w:val="0"/>
                      <w:sz w:val="18"/>
                      <w:szCs w:val="18"/>
                    </w:rPr>
                  </w:pPr>
                  <w:r>
                    <w:rPr>
                      <w:rFonts w:hint="eastAsia" w:ascii="宋体" w:hAnsi="宋体"/>
                      <w:bCs/>
                      <w:kern w:val="0"/>
                      <w:sz w:val="18"/>
                      <w:szCs w:val="18"/>
                    </w:rPr>
                    <w:t>通川区</w:t>
                  </w:r>
                </w:p>
              </w:tc>
              <w:tc>
                <w:tcPr>
                  <w:tcW w:w="107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土壤污染风险管控分区</w:t>
                  </w:r>
                </w:p>
              </w:tc>
              <w:tc>
                <w:tcPr>
                  <w:tcW w:w="13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bCs/>
                      <w:kern w:val="0"/>
                      <w:sz w:val="18"/>
                      <w:szCs w:val="18"/>
                    </w:rPr>
                  </w:pPr>
                  <w:r>
                    <w:rPr>
                      <w:rFonts w:hint="eastAsia"/>
                      <w:bCs/>
                      <w:kern w:val="0"/>
                      <w:sz w:val="18"/>
                      <w:szCs w:val="18"/>
                    </w:rPr>
                    <w:t>农用地优先保护区</w:t>
                  </w:r>
                </w:p>
              </w:tc>
            </w:tr>
          </w:tbl>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（3）与《川环办函〔2021〕469号》要求的符合性</w:t>
            </w:r>
          </w:p>
          <w:p>
            <w:pPr>
              <w:autoSpaceDE w:val="0"/>
              <w:autoSpaceDN w:val="0"/>
              <w:adjustRightInd w:val="0"/>
              <w:snapToGrid w:val="0"/>
              <w:spacing w:line="410" w:lineRule="exact"/>
              <w:ind w:firstLine="420" w:firstLineChars="200"/>
              <w:jc w:val="left"/>
              <w:rPr>
                <w:rFonts w:ascii="宋体" w:hAnsi="宋体" w:cs="宋体"/>
                <w:kern w:val="0"/>
                <w:szCs w:val="21"/>
              </w:rPr>
            </w:pPr>
            <w:r>
              <w:rPr>
                <w:rFonts w:hint="eastAsia" w:ascii="宋体" w:hAnsi="宋体" w:cs="宋体"/>
                <w:kern w:val="0"/>
                <w:szCs w:val="21"/>
              </w:rPr>
              <w:t>根据四川省生态环境厅办公室《关于印发《产业园区规划环评“三线一单”符合性分析技术要点(试行)》和《项目环评“三线一单”符合性分析技术要点(试行)》的通知》（川环办函〔2021〕469号），本项目属于位于产业园区外的污染影响类建设项目。因此，本项目的“三线一单”分析重点为空间符合性分析和管控要求符合性分析。</w:t>
            </w:r>
          </w:p>
          <w:p>
            <w:pPr>
              <w:autoSpaceDE w:val="0"/>
              <w:autoSpaceDN w:val="0"/>
              <w:adjustRightInd w:val="0"/>
              <w:snapToGrid w:val="0"/>
              <w:spacing w:line="410" w:lineRule="exact"/>
              <w:ind w:firstLine="422" w:firstLineChars="200"/>
              <w:jc w:val="left"/>
              <w:rPr>
                <w:rFonts w:ascii="宋体" w:hAnsi="宋体" w:cs="宋体"/>
                <w:b/>
                <w:kern w:val="0"/>
                <w:szCs w:val="21"/>
              </w:rPr>
            </w:pPr>
            <w:r>
              <w:rPr>
                <w:rFonts w:hint="eastAsia" w:ascii="宋体" w:hAnsi="宋体" w:cs="宋体"/>
                <w:b/>
                <w:kern w:val="0"/>
                <w:szCs w:val="21"/>
              </w:rPr>
              <w:t>（4）生态环境准入清单符合性分析</w:t>
            </w: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tc>
      </w:tr>
    </w:tbl>
    <w:p>
      <w:pPr>
        <w:widowControl/>
        <w:spacing w:line="360" w:lineRule="auto"/>
        <w:jc w:val="left"/>
        <w:rPr>
          <w:rFonts w:eastAsia="黑体"/>
          <w:sz w:val="30"/>
        </w:rPr>
        <w:sectPr>
          <w:footerReference r:id="rId4" w:type="default"/>
          <w:pgSz w:w="11906" w:h="16838"/>
          <w:pgMar w:top="1701" w:right="1531" w:bottom="1701" w:left="1531" w:header="851" w:footer="1077" w:gutter="0"/>
          <w:pgNumType w:fmt="numberInDash" w:start="1"/>
          <w:cols w:space="720" w:num="1"/>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1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dxa"/>
          </w:tcPr>
          <w:p>
            <w:pPr>
              <w:widowControl/>
              <w:spacing w:line="360" w:lineRule="auto"/>
              <w:jc w:val="left"/>
              <w:rPr>
                <w:rFonts w:eastAsia="黑体"/>
                <w:sz w:val="30"/>
              </w:rPr>
            </w:pPr>
          </w:p>
        </w:tc>
        <w:tc>
          <w:tcPr>
            <w:tcW w:w="12042" w:type="dxa"/>
          </w:tcPr>
          <w:p>
            <w:pPr>
              <w:autoSpaceDE w:val="0"/>
              <w:autoSpaceDN w:val="0"/>
              <w:adjustRightInd w:val="0"/>
              <w:snapToGrid w:val="0"/>
              <w:spacing w:line="410" w:lineRule="exact"/>
              <w:ind w:firstLine="422" w:firstLineChars="200"/>
              <w:jc w:val="center"/>
              <w:rPr>
                <w:rFonts w:eastAsia="黑体"/>
                <w:sz w:val="30"/>
              </w:rPr>
            </w:pPr>
            <w:r>
              <w:rPr>
                <w:rFonts w:hint="eastAsia" w:ascii="宋体" w:hAnsi="宋体" w:cs="宋体"/>
                <w:b/>
                <w:kern w:val="0"/>
                <w:szCs w:val="21"/>
              </w:rPr>
              <w:t>表1-4   项目与生态环境准入清单的符合性分析表</w:t>
            </w:r>
          </w:p>
          <w:tbl>
            <w:tblPr>
              <w:tblStyle w:val="21"/>
              <w:tblW w:w="11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
              <w:gridCol w:w="896"/>
              <w:gridCol w:w="567"/>
              <w:gridCol w:w="709"/>
              <w:gridCol w:w="6940"/>
              <w:gridCol w:w="10"/>
              <w:gridCol w:w="1691"/>
              <w:gridCol w:w="10"/>
              <w:gridCol w:w="652"/>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9" w:hRule="atLeast"/>
                <w:jc w:val="center"/>
              </w:trPr>
              <w:tc>
                <w:tcPr>
                  <w:tcW w:w="9122"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“三线一单”的具体要求</w:t>
                  </w:r>
                </w:p>
              </w:tc>
              <w:tc>
                <w:tcPr>
                  <w:tcW w:w="1701"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本项目情况</w:t>
                  </w:r>
                </w:p>
              </w:tc>
              <w:tc>
                <w:tcPr>
                  <w:tcW w:w="662"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9" w:hRule="atLeast"/>
                <w:jc w:val="center"/>
              </w:trPr>
              <w:tc>
                <w:tcPr>
                  <w:tcW w:w="2172"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类别</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对应</w:t>
                  </w:r>
                  <w:r>
                    <w:rPr>
                      <w:rFonts w:asciiTheme="minorEastAsia" w:hAnsiTheme="minorEastAsia" w:eastAsiaTheme="minorEastAsia"/>
                      <w:bCs/>
                      <w:sz w:val="18"/>
                      <w:szCs w:val="18"/>
                    </w:rPr>
                    <w:t>管控要求</w:t>
                  </w: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Theme="minorEastAsia" w:hAnsiTheme="minorEastAsia" w:eastAsiaTheme="minorEastAsia"/>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733" w:hRule="atLeast"/>
                <w:jc w:val="center"/>
              </w:trPr>
              <w:tc>
                <w:tcPr>
                  <w:tcW w:w="896" w:type="dxa"/>
                  <w:vMerge w:val="restart"/>
                  <w:tcBorders>
                    <w:top w:val="nil"/>
                    <w:left w:val="single" w:color="auto" w:sz="4" w:space="0"/>
                    <w:bottom w:val="single" w:color="auto" w:sz="4" w:space="0"/>
                    <w:right w:val="single" w:color="auto" w:sz="4" w:space="0"/>
                  </w:tcBorders>
                  <w:vAlign w:val="center"/>
                </w:tcPr>
                <w:p>
                  <w:pPr>
                    <w:pStyle w:val="67"/>
                    <w:rPr>
                      <w:rFonts w:asciiTheme="minorEastAsia" w:hAnsiTheme="minorEastAsia" w:eastAsiaTheme="minorEastAsia"/>
                      <w:bCs/>
                      <w:sz w:val="18"/>
                      <w:szCs w:val="18"/>
                    </w:rPr>
                  </w:pPr>
                  <w:r>
                    <w:rPr>
                      <w:rStyle w:val="61"/>
                      <w:rFonts w:hint="eastAsia" w:asciiTheme="minorEastAsia" w:hAnsiTheme="minorEastAsia" w:eastAsiaTheme="minorEastAsia"/>
                      <w:sz w:val="18"/>
                      <w:szCs w:val="18"/>
                    </w:rPr>
                    <w:t>环境综合管控单元城镇重点管控单元</w:t>
                  </w:r>
                  <w:r>
                    <w:rPr>
                      <w:rFonts w:asciiTheme="minorEastAsia" w:hAnsiTheme="minorEastAsia" w:eastAsiaTheme="minorEastAsia"/>
                      <w:bCs/>
                      <w:sz w:val="18"/>
                      <w:szCs w:val="18"/>
                    </w:rPr>
                    <w:t>、</w:t>
                  </w:r>
                  <w:r>
                    <w:rPr>
                      <w:rStyle w:val="61"/>
                      <w:rFonts w:hint="eastAsia" w:asciiTheme="minorEastAsia" w:hAnsiTheme="minorEastAsia" w:eastAsiaTheme="minorEastAsia"/>
                      <w:sz w:val="18"/>
                      <w:szCs w:val="18"/>
                    </w:rPr>
                    <w:t>ZH51170220001</w:t>
                  </w:r>
                  <w:r>
                    <w:rPr>
                      <w:rFonts w:asciiTheme="minorEastAsia" w:hAnsiTheme="minorEastAsia" w:eastAsiaTheme="minorEastAsia"/>
                      <w:bCs/>
                      <w:sz w:val="18"/>
                      <w:szCs w:val="18"/>
                    </w:rPr>
                    <w:t>、</w:t>
                  </w:r>
                  <w:r>
                    <w:rPr>
                      <w:rStyle w:val="61"/>
                      <w:rFonts w:hint="eastAsia" w:asciiTheme="minorEastAsia" w:hAnsiTheme="minorEastAsia" w:eastAsiaTheme="minorEastAsia"/>
                      <w:sz w:val="18"/>
                      <w:szCs w:val="18"/>
                    </w:rPr>
                    <w:t>通川区中心城区</w:t>
                  </w: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达州市普适性清单管控要求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b/>
                      <w:kern w:val="0"/>
                      <w:sz w:val="18"/>
                      <w:szCs w:val="18"/>
                    </w:rPr>
                  </w:pPr>
                  <w:r>
                    <w:rPr>
                      <w:rStyle w:val="61"/>
                      <w:rFonts w:hint="eastAsia" w:asciiTheme="minorEastAsia" w:hAnsiTheme="minorEastAsia" w:eastAsiaTheme="minorEastAsia"/>
                      <w:b/>
                      <w:kern w:val="0"/>
                      <w:sz w:val="18"/>
                      <w:szCs w:val="18"/>
                    </w:rPr>
                    <w:t>禁止开发建设活动的要求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-原则上禁止新建工业企业（新建工业企业原则上都应在工业园区内建设）。</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-禁止在居民区、学校、医疗和养老机构等周边新建有色金属冶炼、焦化、化工、铅蓄电池制造等行业企业，有序搬迁或依法关闭对土壤造成严重污染的现有企业。</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-禁止在长江流域河湖管理范围内倾倒、填埋、堆放、弃置、处理固体废物。</w:t>
                  </w:r>
                </w:p>
                <w:p>
                  <w:pPr>
                    <w:pStyle w:val="62"/>
                    <w:spacing w:line="240" w:lineRule="exact"/>
                    <w:ind w:firstLine="0" w:firstLineChars="0"/>
                    <w:rPr>
                      <w:rStyle w:val="61"/>
                      <w:rFonts w:asciiTheme="minorEastAsia" w:hAnsiTheme="minorEastAsia" w:eastAsiaTheme="minorEastAsia"/>
                      <w:b/>
                      <w:kern w:val="0"/>
                      <w:sz w:val="18"/>
                      <w:szCs w:val="18"/>
                    </w:rPr>
                  </w:pPr>
                  <w:r>
                    <w:rPr>
                      <w:rStyle w:val="61"/>
                      <w:rFonts w:hint="eastAsia" w:asciiTheme="minorEastAsia" w:hAnsiTheme="minorEastAsia" w:eastAsiaTheme="minorEastAsia"/>
                      <w:b/>
                      <w:kern w:val="0"/>
                      <w:sz w:val="18"/>
                      <w:szCs w:val="18"/>
                    </w:rPr>
                    <w:t>限制开发建设活动的要求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-现有工业企业不得新增污染物排放。</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-允许企业以提升安全、生态环境保护水平为目的的改建，引导企业结合推进新型城镇化、产业结构调整和化解过剩产能等，退城入园，有序搬迁。</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-严格控制在城镇空间范围内新布设工业园区。若新布局工业园区，应符合达州市国土空间规划，并结合区域环境特点、三线成果、园区产业类别，充分论证选址的环境合理性。</w:t>
                  </w:r>
                </w:p>
                <w:p>
                  <w:pPr>
                    <w:pStyle w:val="62"/>
                    <w:spacing w:line="240" w:lineRule="exact"/>
                    <w:ind w:firstLine="36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-严格控制新增建设用地规模，法定城乡规划除外。</w:t>
                  </w:r>
                </w:p>
                <w:p>
                  <w:pPr>
                    <w:pStyle w:val="62"/>
                    <w:spacing w:line="240" w:lineRule="exact"/>
                    <w:ind w:firstLine="0" w:firstLineChars="0"/>
                    <w:rPr>
                      <w:rStyle w:val="61"/>
                      <w:rFonts w:asciiTheme="minorEastAsia" w:hAnsiTheme="minorEastAsia" w:eastAsiaTheme="minorEastAsia"/>
                      <w:b/>
                      <w:kern w:val="0"/>
                      <w:sz w:val="18"/>
                      <w:szCs w:val="18"/>
                    </w:rPr>
                  </w:pPr>
                  <w:r>
                    <w:rPr>
                      <w:rStyle w:val="61"/>
                      <w:rFonts w:hint="eastAsia" w:asciiTheme="minorEastAsia" w:hAnsiTheme="minorEastAsia" w:eastAsiaTheme="minorEastAsia"/>
                      <w:b/>
                      <w:kern w:val="0"/>
                      <w:sz w:val="18"/>
                      <w:szCs w:val="18"/>
                    </w:rPr>
                    <w:t>不符合空间布局要求活动的退出要求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-现有工业企业适时进行有序退出。</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-按照相关规划和要求，清理整顿非法采砂、非法码头，全面清除不合规码头。</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-在全市范围深入开展集中整治“散乱污”工业企业，对不符合产业政策和规划布局的，一律责令停产、限期搬迁或关停；</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-有序搬迁或依法关闭对土壤造成严重污染的现有企业。</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-到2025年，城镇人口密集区现有不符合安全和卫生防护距离要求的危险化学品生产企业搬迁进入规范化工园区或关闭退出。</w:t>
                  </w:r>
                </w:p>
                <w:p>
                  <w:pPr>
                    <w:pStyle w:val="62"/>
                    <w:spacing w:line="240" w:lineRule="exact"/>
                    <w:ind w:firstLine="36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-不断优化长江经济带化工行业空间布局，有效控制化工污染。推进化工企业搬迁入园，加强化工园区基础设施建设。</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其他空间布局约束要求，暂无。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bCs/>
                      <w:sz w:val="18"/>
                      <w:szCs w:val="18"/>
                    </w:rPr>
                  </w:pPr>
                  <w:r>
                    <w:rPr>
                      <w:rFonts w:asciiTheme="minorEastAsia" w:hAnsiTheme="minorEastAsia" w:eastAsiaTheme="minorEastAsia"/>
                      <w:bCs/>
                      <w:sz w:val="18"/>
                      <w:szCs w:val="18"/>
                    </w:rPr>
                    <w:t>本项目为酒店被服洗涤厂新增备用天然气锅炉项目，不属于新建化工项目、不属于尾矿库项目、不属于有色金属冶炼、焦化、化工等行业企业，不属于禁止开发建设活动。</w:t>
                  </w:r>
                </w:p>
                <w:p>
                  <w:pPr>
                    <w:spacing w:line="240" w:lineRule="exact"/>
                    <w:rPr>
                      <w:rFonts w:asciiTheme="minorEastAsia" w:hAnsiTheme="minorEastAsia" w:eastAsiaTheme="minorEastAsia"/>
                      <w:bCs/>
                      <w:sz w:val="18"/>
                      <w:szCs w:val="18"/>
                    </w:rPr>
                  </w:pPr>
                  <w:r>
                    <w:rPr>
                      <w:rFonts w:hint="eastAsia" w:asciiTheme="minorEastAsia" w:hAnsiTheme="minorEastAsia" w:eastAsiaTheme="minorEastAsia"/>
                      <w:bCs/>
                      <w:sz w:val="18"/>
                      <w:szCs w:val="18"/>
                    </w:rPr>
                    <w:t>本项目为被服洗涤厂新增配套备用天然气锅炉项目，为服务行业，不属于工业企业。</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74"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污染物排放管控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b/>
                      <w:kern w:val="0"/>
                      <w:sz w:val="18"/>
                      <w:szCs w:val="18"/>
                    </w:rPr>
                  </w:pPr>
                  <w:r>
                    <w:rPr>
                      <w:rStyle w:val="61"/>
                      <w:rFonts w:hint="eastAsia" w:asciiTheme="minorEastAsia" w:hAnsiTheme="minorEastAsia" w:eastAsiaTheme="minorEastAsia"/>
                      <w:b/>
                      <w:kern w:val="0"/>
                      <w:sz w:val="18"/>
                      <w:szCs w:val="18"/>
                    </w:rPr>
                    <w:t>允许排放量要求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达州市2025年水污染物允许排放量COD33136.93t，氨氮2055.16t，TP252.53t；</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现有源提标升级改造</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-到2025年，水环境敏感地区污水处理基本达到一级A排放标准。</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-燃气锅炉升级改造，达到特别排放限值。</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-城市污水处理厂进水生化需氧量（BOD）浓度低于 100 mgL 的，要围绕服务片区管网，系统排查进水浓度偏低的原因，科学确定水质提升目标，制定并实施“一厂一策”系统化整治方案，稳步提升污水收集处理设施效能。</w:t>
                  </w:r>
                </w:p>
                <w:p>
                  <w:pPr>
                    <w:pStyle w:val="62"/>
                    <w:spacing w:line="240" w:lineRule="exact"/>
                    <w:ind w:firstLine="0" w:firstLineChars="0"/>
                    <w:rPr>
                      <w:rStyle w:val="61"/>
                      <w:rFonts w:asciiTheme="minorEastAsia" w:hAnsiTheme="minorEastAsia" w:eastAsiaTheme="minorEastAsia"/>
                      <w:b/>
                      <w:kern w:val="0"/>
                      <w:sz w:val="18"/>
                      <w:szCs w:val="18"/>
                    </w:rPr>
                  </w:pPr>
                  <w:r>
                    <w:rPr>
                      <w:rStyle w:val="61"/>
                      <w:rFonts w:hint="eastAsia" w:asciiTheme="minorEastAsia" w:hAnsiTheme="minorEastAsia" w:eastAsiaTheme="minorEastAsia"/>
                      <w:b/>
                      <w:kern w:val="0"/>
                      <w:sz w:val="18"/>
                      <w:szCs w:val="18"/>
                    </w:rPr>
                    <w:t>其他污染物排放管控要求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新增源等量或倍量替代:-上一年度水环境质量未完成目标的，新建排放水污染的建设项目按照总量管控要求进行倍量削减替代。</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污染物排放绩效水平准入要求:严格落实建设工地管理要求，做好扬尘污染管控工作。</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-实施密闭化收运，推广干湿分类收运。强化垃圾渗滤液、焚烧飞灰安全处置，城市生活垃圾无害化处理率保持100%。</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-到2023年，力争全省生活垃圾焚烧处理能力占比达60%以上，地级以上城市具备厨余垃圾集中处理能力；县城生活垃圾无害化处理率保持95%以上，乡镇及行政</w:t>
                  </w:r>
                  <w:r>
                    <w:rPr>
                      <w:rStyle w:val="61"/>
                      <w:rFonts w:hint="eastAsia" w:asciiTheme="minorEastAsia" w:hAnsiTheme="minorEastAsia" w:eastAsiaTheme="minorEastAsia"/>
                      <w:kern w:val="0"/>
                      <w:sz w:val="18"/>
                      <w:szCs w:val="18"/>
                      <w:lang w:val="en-US" w:eastAsia="zh-CN"/>
                    </w:rPr>
                    <w:t>治</w:t>
                  </w:r>
                  <w:r>
                    <w:rPr>
                      <w:rStyle w:val="61"/>
                      <w:rFonts w:hint="eastAsia" w:asciiTheme="minorEastAsia" w:hAnsiTheme="minorEastAsia" w:eastAsiaTheme="minorEastAsia"/>
                      <w:kern w:val="0"/>
                      <w:sz w:val="18"/>
                      <w:szCs w:val="18"/>
                    </w:rPr>
                    <w:t>生活垃圾收转运处置体系基本实现全覆盖；</w:t>
                  </w:r>
                </w:p>
                <w:p>
                  <w:pPr>
                    <w:pStyle w:val="62"/>
                    <w:spacing w:line="240" w:lineRule="exact"/>
                    <w:ind w:firstLine="36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本项目新增</w:t>
                  </w:r>
                  <w:r>
                    <w:rPr>
                      <w:rFonts w:hint="eastAsia" w:asciiTheme="minorEastAsia" w:hAnsiTheme="minorEastAsia" w:eastAsiaTheme="minorEastAsia"/>
                      <w:sz w:val="18"/>
                      <w:szCs w:val="18"/>
                    </w:rPr>
                    <w:t>2t/h燃气锅炉，废气排放能够达到特别排放限值要求。</w:t>
                  </w:r>
                </w:p>
                <w:p>
                  <w:pPr>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燃气锅炉配套的纯水制备废水属于清净下水，污染物含量较低，利用洗涤厂现有设施处理后，最终进入东岳场镇污水处理厂处理后，达标排放双龙河。</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56"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环境风险防控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联防联控要求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w:t>
                  </w:r>
                  <w:r>
                    <w:rPr>
                      <w:rStyle w:val="61"/>
                      <w:rFonts w:hint="eastAsia" w:asciiTheme="minorEastAsia" w:hAnsiTheme="minorEastAsia" w:eastAsiaTheme="minorEastAsia"/>
                      <w:kern w:val="0"/>
                      <w:sz w:val="18"/>
                      <w:szCs w:val="18"/>
                      <w:lang w:eastAsia="zh-CN"/>
                    </w:rPr>
                    <w:t>大气污染防治</w:t>
                  </w:r>
                  <w:r>
                    <w:rPr>
                      <w:rStyle w:val="61"/>
                      <w:rFonts w:hint="eastAsia" w:asciiTheme="minorEastAsia" w:hAnsiTheme="minorEastAsia" w:eastAsiaTheme="minorEastAsia"/>
                      <w:kern w:val="0"/>
                      <w:sz w:val="18"/>
                      <w:szCs w:val="18"/>
                    </w:rPr>
                    <w:t>合作</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其他环境风险防控要求</w:t>
                  </w:r>
                </w:p>
                <w:p>
                  <w:pPr>
                    <w:pStyle w:val="62"/>
                    <w:spacing w:line="240" w:lineRule="exact"/>
                    <w:ind w:firstLine="36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企业环境风险防控要求:现有涉及五类重金属的企业，不得新增污染物排放，限期退城入园或关停。用地环境风险防控要求:工业企业退出用地，须经评估、修复满足相应用地功能后，方可改变用途。。</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本项目建成后将按要求编制《突发环境风险应急预案》。</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17"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资源开发利用效率要求</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水资源利用总量要求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-到2025年，全国污水收集效能显著提升，县城及城市污水处理能力基本满足当地经济社会发展需要，水环境敏感地区污水处理基本实现提标升级；全国地级及以上缺水城市再生水利用率达到25%以上。</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地下水开采要求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以省市下发指标为准</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能源利用总量及效率要求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-严控使用燃煤等高污染燃料，禁止焚烧垃圾。</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-全面淘汰每小时10蒸吨以下的燃煤锅炉；在供气管网覆盖不到的其他地区，改用电、新能源或洁净煤。</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禁燃区要求</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62"/>
                    <w:spacing w:line="240" w:lineRule="exact"/>
                    <w:ind w:firstLine="36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-禁燃区内禁止销售、燃用高污染燃料；禁止新建、改建、扩建燃用高污染燃料的设施和设备。</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-禁燃区内已建成的高污染燃料燃用设施由辖区人民政府制定限期改造计划，改用天然气、页岩气、液化石油气、电或其他清洁能源</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 xml:space="preserve"> 其他资源利用效率要求，暂无。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本项目新增备用锅炉为燃气锅炉，不涉及使用燃煤等高污染物燃料。</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09"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单元级清单管控要求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禁止开发建设活动的要求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限制开发建设活动的要求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城市发展遵循“北控、西扩、南拓、东进、中优”的布局战略</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其他同达州市城镇重点总体管控要求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允许开发建设活动的要求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不符合空间布局要求活动的退出要求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尽快创造条件搬迁达钢至经开区第二园区，限制达钢工业用地原地扩展其他同达州市城镇重点总体管控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其他空间布局约束要求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pacing w:line="240" w:lineRule="exact"/>
                    <w:ind w:firstLine="0" w:firstLineChars="0"/>
                    <w:rPr>
                      <w:rFonts w:asciiTheme="minorEastAsia" w:hAnsiTheme="minorEastAsia" w:eastAsiaTheme="minorEastAsia"/>
                      <w:sz w:val="18"/>
                      <w:szCs w:val="18"/>
                    </w:rPr>
                  </w:pPr>
                  <w:r>
                    <w:rPr>
                      <w:rFonts w:asciiTheme="minorEastAsia" w:hAnsiTheme="minorEastAsia" w:eastAsiaTheme="minorEastAsia"/>
                      <w:sz w:val="18"/>
                      <w:szCs w:val="18"/>
                    </w:rPr>
                    <w:t>本项目不属于禁止开发建设活动，不属于限制开发建设活动，</w:t>
                  </w:r>
                </w:p>
                <w:p>
                  <w:pPr>
                    <w:pStyle w:val="62"/>
                    <w:widowControl/>
                    <w:spacing w:line="240" w:lineRule="exact"/>
                    <w:ind w:firstLine="0" w:firstLineChars="0"/>
                    <w:rPr>
                      <w:rFonts w:asciiTheme="minorEastAsia" w:hAnsiTheme="minorEastAsia" w:eastAsiaTheme="minorEastAsia"/>
                      <w:sz w:val="18"/>
                      <w:szCs w:val="18"/>
                    </w:rPr>
                  </w:pPr>
                  <w:r>
                    <w:rPr>
                      <w:rFonts w:asciiTheme="minorEastAsia" w:hAnsiTheme="minorEastAsia" w:eastAsiaTheme="minorEastAsia"/>
                      <w:sz w:val="18"/>
                      <w:szCs w:val="18"/>
                    </w:rPr>
                    <w:t>不属于屠宰、</w:t>
                  </w:r>
                  <w:r>
                    <w:rPr>
                      <w:rFonts w:hint="eastAsia" w:asciiTheme="minorEastAsia" w:hAnsiTheme="minorEastAsia" w:eastAsiaTheme="minorEastAsia"/>
                      <w:sz w:val="18"/>
                      <w:szCs w:val="18"/>
                    </w:rPr>
                    <w:t>电镀、制革、洗选等禁止引入类项目</w:t>
                  </w:r>
                  <w:r>
                    <w:rPr>
                      <w:rFonts w:asciiTheme="minorEastAsia" w:hAnsiTheme="minorEastAsia" w:eastAsiaTheme="minorEastAsia"/>
                      <w:sz w:val="18"/>
                      <w:szCs w:val="18"/>
                    </w:rPr>
                    <w:t xml:space="preserve">，属于园区允许准入类项目。 </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49"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现有源提标升级改造</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通川区全域属于四川省大气污染防治重点区域，执行大气污染物特别排放限值。</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新增源等量或倍量替代</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新增源排放标准限值</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通川区全域属于四川省大气污染防治重点区域，执行大气污染物特别排放限值。其他同达州市城镇重点总体准入要求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污染物排放绩效水平准入要求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其他同城镇重点管控单元总体准入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其他污染物排放管控要求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同“</w:t>
                  </w:r>
                  <w:r>
                    <w:rPr>
                      <w:rFonts w:hint="eastAsia" w:asciiTheme="minorEastAsia" w:hAnsiTheme="minorEastAsia" w:eastAsiaTheme="minorEastAsia"/>
                      <w:sz w:val="18"/>
                      <w:szCs w:val="18"/>
                    </w:rPr>
                    <w:t>达州市工业重点管控单元总体要求</w:t>
                  </w:r>
                  <w:r>
                    <w:rPr>
                      <w:rFonts w:asciiTheme="minorEastAsia" w:hAnsiTheme="minorEastAsia" w:eastAsiaTheme="minorEastAsia"/>
                      <w:sz w:val="18"/>
                      <w:szCs w:val="18"/>
                    </w:rPr>
                    <w:t>”分析</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232"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严格管控类农用地管控要求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安全利用类农用地管控要求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有一定危险性仓库用地远离市区，按有关规范选址和建设，留够防护距离，原则上安排在铁山山谷。其他同达州市城镇重点总体准入要求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污染地块管控要求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园区环境风险防控要求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企业环境风险防控要求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其他环境风险防控要求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同“达州市工业重点管控单元总体要求”分析</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56" w:hRule="atLeast"/>
                <w:jc w:val="center"/>
              </w:trPr>
              <w:tc>
                <w:tcPr>
                  <w:tcW w:w="8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水资源利用效率要求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地下水开采要求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能源利用效率要求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执行达州市城镇重点管控单元总体要求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其他资源利用效率要求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禁燃区要求：同达州市城镇重点总体准入要求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同“达州市工业重点管控单元总体要求”分析</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54" w:hRule="atLeast"/>
                <w:jc w:val="center"/>
              </w:trPr>
              <w:tc>
                <w:tcPr>
                  <w:tcW w:w="896" w:type="dxa"/>
                  <w:vMerge w:val="restart"/>
                  <w:tcBorders>
                    <w:top w:val="nil"/>
                    <w:left w:val="single" w:color="auto" w:sz="4" w:space="0"/>
                    <w:right w:val="single" w:color="auto" w:sz="4" w:space="0"/>
                  </w:tcBorders>
                  <w:vAlign w:val="center"/>
                </w:tcPr>
                <w:p>
                  <w:pPr>
                    <w:pStyle w:val="67"/>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水环境城镇生活污染重点管控区</w:t>
                  </w:r>
                  <w:r>
                    <w:rPr>
                      <w:rFonts w:hint="eastAsia" w:asciiTheme="minorEastAsia" w:hAnsiTheme="minorEastAsia" w:eastAsiaTheme="minorEastAsia"/>
                      <w:sz w:val="18"/>
                      <w:szCs w:val="18"/>
                    </w:rPr>
                    <w:t>、</w:t>
                  </w:r>
                  <w:r>
                    <w:rPr>
                      <w:rStyle w:val="61"/>
                      <w:rFonts w:hint="eastAsia" w:asciiTheme="minorEastAsia" w:hAnsiTheme="minorEastAsia" w:eastAsiaTheme="minorEastAsia"/>
                      <w:sz w:val="18"/>
                      <w:szCs w:val="18"/>
                    </w:rPr>
                    <w:t>YS5117022220001</w:t>
                  </w:r>
                  <w:r>
                    <w:rPr>
                      <w:rFonts w:hint="eastAsia" w:asciiTheme="minorEastAsia" w:hAnsiTheme="minorEastAsia" w:eastAsiaTheme="minorEastAsia"/>
                      <w:sz w:val="18"/>
                      <w:szCs w:val="18"/>
                    </w:rPr>
                    <w:t>、</w:t>
                  </w:r>
                  <w:r>
                    <w:rPr>
                      <w:rStyle w:val="61"/>
                      <w:rFonts w:hint="eastAsia" w:asciiTheme="minorEastAsia" w:hAnsiTheme="minorEastAsia" w:eastAsiaTheme="minorEastAsia"/>
                      <w:sz w:val="18"/>
                      <w:szCs w:val="18"/>
                    </w:rPr>
                    <w:t>州河通川区车家河控制单元</w:t>
                  </w:r>
                </w:p>
              </w:tc>
              <w:tc>
                <w:tcPr>
                  <w:tcW w:w="567" w:type="dxa"/>
                  <w:vMerge w:val="restart"/>
                  <w:tcBorders>
                    <w:top w:val="nil"/>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r>
                    <w:rPr>
                      <w:rFonts w:hint="eastAsia" w:cs="宋体" w:asciiTheme="minorEastAsia" w:hAnsiTheme="minorEastAsia" w:eastAsiaTheme="minorEastAsia"/>
                      <w:bCs/>
                      <w:kern w:val="0"/>
                      <w:sz w:val="18"/>
                      <w:szCs w:val="18"/>
                    </w:rPr>
                    <w:t>达州市普适性清单管控要求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禁止开发建设活动的要求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限制开发建设活动的要求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不符合空间布局要求活动的退出要求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其他空间布局约束要求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26" w:hRule="atLeast"/>
                <w:jc w:val="center"/>
              </w:trPr>
              <w:tc>
                <w:tcPr>
                  <w:tcW w:w="896" w:type="dxa"/>
                  <w:vMerge w:val="continue"/>
                  <w:tcBorders>
                    <w:top w:val="nil"/>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允许排放量要求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现有源提标升级改造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其他污染物排放管控要求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40" w:hRule="atLeast"/>
                <w:jc w:val="center"/>
              </w:trPr>
              <w:tc>
                <w:tcPr>
                  <w:tcW w:w="896" w:type="dxa"/>
                  <w:vMerge w:val="continue"/>
                  <w:tcBorders>
                    <w:top w:val="nil"/>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联防联控要求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其他环境风险防控要求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56" w:hRule="atLeast"/>
                <w:jc w:val="center"/>
              </w:trPr>
              <w:tc>
                <w:tcPr>
                  <w:tcW w:w="896" w:type="dxa"/>
                  <w:vMerge w:val="continue"/>
                  <w:tcBorders>
                    <w:top w:val="nil"/>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水资源利用总量要求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地下水开采要求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能源利用总量及效率要求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禁燃区要求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其他资源利用效率要求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131" w:hRule="atLeast"/>
                <w:jc w:val="center"/>
              </w:trPr>
              <w:tc>
                <w:tcPr>
                  <w:tcW w:w="896"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单元级清单管控要求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禁止开发建设活动的要求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限制开发建设活动的要求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允许开发建设活动的要求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不符合空间布局要求活动的退出要求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其他空间布局约束要求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94" w:hRule="atLeast"/>
                <w:jc w:val="center"/>
              </w:trPr>
              <w:tc>
                <w:tcPr>
                  <w:tcW w:w="896"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50" w:type="dxa"/>
                  <w:gridSpan w:val="2"/>
                  <w:tcBorders>
                    <w:top w:val="single" w:color="auto" w:sz="4" w:space="0"/>
                    <w:left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城镇污水污染控制措施要求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工业废水污染控制措施要求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农业面源水污染控制措施要求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船舶港口水污染控制措施要求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饮用水水源和其它特殊水体保护要求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本项目锅炉纯水制备产生的废水，利用现有洗涤废水处理设施，处理后排入东岳场镇污水处理厂处理后达标排放。</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378" w:hRule="atLeast"/>
                <w:jc w:val="center"/>
              </w:trPr>
              <w:tc>
                <w:tcPr>
                  <w:tcW w:w="896"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50" w:type="dxa"/>
                  <w:gridSpan w:val="2"/>
                  <w:tcBorders>
                    <w:left w:val="single" w:color="auto" w:sz="4" w:space="0"/>
                    <w:right w:val="single" w:color="auto" w:sz="4" w:space="0"/>
                  </w:tcBorders>
                  <w:vAlign w:val="center"/>
                </w:tcPr>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Fonts w:asciiTheme="minorEastAsia" w:hAnsiTheme="minorEastAsia" w:eastAsiaTheme="minorEastAsia"/>
                      <w:sz w:val="18"/>
                      <w:szCs w:val="18"/>
                    </w:rPr>
                  </w:pPr>
                  <w:r>
                    <w:rPr>
                      <w:rFonts w:hint="eastAsia" w:asciiTheme="minorEastAsia" w:hAnsiTheme="minorEastAsia" w:eastAsiaTheme="minorEastAsia"/>
                      <w:sz w:val="18"/>
                      <w:szCs w:val="18"/>
                    </w:rPr>
                    <w:t>本项目建成后将按要求编制《突发环境风险应急预案》，且不属于</w:t>
                  </w:r>
                  <w:r>
                    <w:rPr>
                      <w:rStyle w:val="61"/>
                      <w:rFonts w:hint="eastAsia" w:asciiTheme="minorEastAsia" w:hAnsiTheme="minorEastAsia" w:eastAsiaTheme="minorEastAsia"/>
                      <w:sz w:val="18"/>
                      <w:szCs w:val="18"/>
                    </w:rPr>
                    <w:t>涉重金属、危险废物、危化品等重点企业</w:t>
                  </w: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78" w:hRule="atLeast"/>
                <w:jc w:val="center"/>
              </w:trPr>
              <w:tc>
                <w:tcPr>
                  <w:tcW w:w="896"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50" w:type="dxa"/>
                  <w:gridSpan w:val="2"/>
                  <w:tcBorders>
                    <w:left w:val="single" w:color="auto" w:sz="4" w:space="0"/>
                    <w:bottom w:val="single" w:color="auto" w:sz="4" w:space="0"/>
                    <w:right w:val="single" w:color="auto" w:sz="4" w:space="0"/>
                  </w:tcBorders>
                  <w:vAlign w:val="center"/>
                </w:tcPr>
                <w:p>
                  <w:pPr>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78" w:hRule="atLeast"/>
                <w:jc w:val="center"/>
              </w:trPr>
              <w:tc>
                <w:tcPr>
                  <w:tcW w:w="896" w:type="dxa"/>
                  <w:vMerge w:val="restart"/>
                  <w:tcBorders>
                    <w:left w:val="single" w:color="auto" w:sz="4" w:space="0"/>
                    <w:right w:val="single" w:color="auto" w:sz="4" w:space="0"/>
                  </w:tcBorders>
                  <w:vAlign w:val="center"/>
                </w:tcPr>
                <w:p>
                  <w:pPr>
                    <w:pStyle w:val="67"/>
                    <w:rPr>
                      <w:rFonts w:asciiTheme="minorEastAsia" w:hAnsiTheme="minorEastAsia" w:eastAsiaTheme="minorEastAsia"/>
                      <w:bCs/>
                      <w:sz w:val="18"/>
                      <w:szCs w:val="18"/>
                    </w:rPr>
                  </w:pPr>
                  <w:r>
                    <w:rPr>
                      <w:rStyle w:val="61"/>
                      <w:rFonts w:hint="eastAsia" w:asciiTheme="minorEastAsia" w:hAnsiTheme="minorEastAsia" w:eastAsiaTheme="minorEastAsia"/>
                      <w:sz w:val="18"/>
                      <w:szCs w:val="18"/>
                    </w:rPr>
                    <w:t>通川区中心城区</w:t>
                  </w:r>
                  <w:r>
                    <w:rPr>
                      <w:rFonts w:hint="eastAsia" w:asciiTheme="minorEastAsia" w:hAnsiTheme="minorEastAsia" w:eastAsiaTheme="minorEastAsia"/>
                      <w:sz w:val="18"/>
                      <w:szCs w:val="18"/>
                    </w:rPr>
                    <w:t>、</w:t>
                  </w:r>
                  <w:r>
                    <w:rPr>
                      <w:rStyle w:val="61"/>
                      <w:rFonts w:hint="eastAsia" w:asciiTheme="minorEastAsia" w:hAnsiTheme="minorEastAsia" w:eastAsiaTheme="minorEastAsia"/>
                      <w:sz w:val="18"/>
                      <w:szCs w:val="18"/>
                    </w:rPr>
                    <w:t>YS5117022340005</w:t>
                  </w:r>
                  <w:r>
                    <w:rPr>
                      <w:rFonts w:hint="eastAsia" w:asciiTheme="minorEastAsia" w:hAnsiTheme="minorEastAsia" w:eastAsiaTheme="minorEastAsia"/>
                      <w:sz w:val="18"/>
                      <w:szCs w:val="18"/>
                    </w:rPr>
                    <w:t>、</w:t>
                  </w:r>
                  <w:r>
                    <w:rPr>
                      <w:rStyle w:val="61"/>
                      <w:rFonts w:hint="eastAsia" w:asciiTheme="minorEastAsia" w:hAnsiTheme="minorEastAsia" w:eastAsiaTheme="minorEastAsia"/>
                      <w:sz w:val="18"/>
                      <w:szCs w:val="18"/>
                    </w:rPr>
                    <w:t>大气环境受体敏感重点管控区</w:t>
                  </w:r>
                </w:p>
              </w:tc>
              <w:tc>
                <w:tcPr>
                  <w:tcW w:w="567" w:type="dxa"/>
                  <w:vMerge w:val="restart"/>
                  <w:tcBorders>
                    <w:top w:val="nil"/>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达州市普适性清单管控要求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禁止开发建设活动的要求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限制开发建设活动的要求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不符合空间布局要求活动的退出要求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其他空间布局约束要求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78" w:hRule="atLeast"/>
                <w:jc w:val="center"/>
              </w:trPr>
              <w:tc>
                <w:tcPr>
                  <w:tcW w:w="896"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允许排放量要求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现有源提标升级改造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其他污染物排放管控要求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78" w:hRule="atLeast"/>
                <w:jc w:val="center"/>
              </w:trPr>
              <w:tc>
                <w:tcPr>
                  <w:tcW w:w="896"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联防联控要求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其他环境风险防控要求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78" w:hRule="atLeast"/>
                <w:jc w:val="center"/>
              </w:trPr>
              <w:tc>
                <w:tcPr>
                  <w:tcW w:w="896"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水资源利用总量要求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地下水开采要求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能源利用总量及效率要求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禁燃区要求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其他资源利用效率要求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17" w:hRule="atLeast"/>
                <w:jc w:val="center"/>
              </w:trPr>
              <w:tc>
                <w:tcPr>
                  <w:tcW w:w="896" w:type="dxa"/>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单元级清单管控要求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禁止开发建设活动的要求</w:t>
                  </w:r>
                </w:p>
                <w:p>
                  <w:pPr>
                    <w:pStyle w:val="62"/>
                    <w:widowControl/>
                    <w:shd w:val="clear" w:color="auto" w:fill="FFFFFF"/>
                    <w:spacing w:line="240" w:lineRule="exact"/>
                    <w:ind w:firstLine="0" w:firstLineChars="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限制开发建设活动的要求</w:t>
                  </w:r>
                </w:p>
                <w:p>
                  <w:pPr>
                    <w:pStyle w:val="62"/>
                    <w:widowControl/>
                    <w:shd w:val="clear" w:color="auto" w:fill="FFFFFF"/>
                    <w:spacing w:line="240" w:lineRule="exact"/>
                    <w:ind w:firstLine="0" w:firstLineChars="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允许开发建设活动的要求</w:t>
                  </w:r>
                </w:p>
                <w:p>
                  <w:pPr>
                    <w:pStyle w:val="62"/>
                    <w:widowControl/>
                    <w:shd w:val="clear" w:color="auto" w:fill="FFFFFF"/>
                    <w:spacing w:line="240" w:lineRule="exact"/>
                    <w:ind w:firstLine="0" w:firstLineChars="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不符合空间布局要求活动的退出要求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其他空间布局约束要求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213" w:hRule="atLeast"/>
                <w:jc w:val="center"/>
              </w:trPr>
              <w:tc>
                <w:tcPr>
                  <w:tcW w:w="896"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50"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大气环境质量执行标准</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《环境空气质量标准》（GB3095-2012）：二级</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区域大气污染物削减/替代要求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新增大气污染物排放的建设项目实施总量削减替代。</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燃煤和其他能源大气污染控制要求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工业废气污染控制要求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机动车船大气污染控制要求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扬尘污染控制要求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农业生产经营活动大气污染控制要求</w:t>
                  </w:r>
                </w:p>
                <w:p>
                  <w:pPr>
                    <w:pStyle w:val="62"/>
                    <w:widowControl/>
                    <w:shd w:val="clear" w:color="auto" w:fill="FFFFFF"/>
                    <w:spacing w:line="240" w:lineRule="exact"/>
                    <w:ind w:firstLine="360"/>
                    <w:jc w:val="left"/>
                    <w:rPr>
                      <w:rStyle w:val="61"/>
                      <w:rFonts w:asciiTheme="minorEastAsia" w:hAnsiTheme="minorEastAsia" w:eastAsiaTheme="minorEastAsia"/>
                      <w:sz w:val="18"/>
                      <w:szCs w:val="18"/>
                    </w:rPr>
                  </w:pPr>
                  <w:r>
                    <w:rPr>
                      <w:rStyle w:val="61"/>
                      <w:rFonts w:hint="eastAsia" w:asciiTheme="minorEastAsia" w:hAnsiTheme="minorEastAsia" w:eastAsiaTheme="minorEastAsia"/>
                      <w:sz w:val="18"/>
                      <w:szCs w:val="18"/>
                    </w:rPr>
                    <w:t>重点行业企业专项治理要求</w:t>
                  </w:r>
                </w:p>
                <w:p>
                  <w:pPr>
                    <w:spacing w:line="240" w:lineRule="exact"/>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其他大气污染物排放管控要求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left"/>
                    <w:rPr>
                      <w:rFonts w:asciiTheme="minorEastAsia" w:hAnsiTheme="minorEastAsia" w:eastAsiaTheme="minorEastAsia"/>
                      <w:sz w:val="18"/>
                      <w:szCs w:val="18"/>
                    </w:rPr>
                  </w:pPr>
                  <w:r>
                    <w:rPr>
                      <w:rFonts w:asciiTheme="minorEastAsia" w:hAnsiTheme="minorEastAsia" w:eastAsiaTheme="minorEastAsia"/>
                      <w:sz w:val="18"/>
                      <w:szCs w:val="18"/>
                    </w:rPr>
                    <w:t>本项目废气污染物能够实现达标排放。</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117" w:hRule="atLeast"/>
                <w:jc w:val="center"/>
              </w:trPr>
              <w:tc>
                <w:tcPr>
                  <w:tcW w:w="896"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50" w:type="dxa"/>
                  <w:gridSpan w:val="2"/>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现有涉及五类重金属的企业，不得新增污染物排放，限期退城入园或关停；工业企业退出用地，须经评估、修复满足相应用地功能后，方可改变用途</w:t>
                  </w:r>
                </w:p>
              </w:tc>
              <w:tc>
                <w:tcPr>
                  <w:tcW w:w="1701" w:type="dxa"/>
                  <w:gridSpan w:val="2"/>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本项目不属于涉及五类重金属的企业。</w:t>
                  </w:r>
                </w:p>
              </w:tc>
              <w:tc>
                <w:tcPr>
                  <w:tcW w:w="662" w:type="dxa"/>
                  <w:gridSpan w:val="2"/>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10" w:type="dxa"/>
                <w:trHeight w:val="60" w:hRule="atLeast"/>
                <w:jc w:val="center"/>
              </w:trPr>
              <w:tc>
                <w:tcPr>
                  <w:tcW w:w="896"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50" w:type="dxa"/>
                  <w:gridSpan w:val="2"/>
                  <w:tcBorders>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gridSpan w:val="2"/>
                  <w:tcBorders>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662" w:type="dxa"/>
                  <w:gridSpan w:val="2"/>
                  <w:tcBorders>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78" w:hRule="atLeast"/>
                <w:jc w:val="center"/>
              </w:trPr>
              <w:tc>
                <w:tcPr>
                  <w:tcW w:w="906" w:type="dxa"/>
                  <w:gridSpan w:val="2"/>
                  <w:vMerge w:val="restart"/>
                  <w:tcBorders>
                    <w:left w:val="single" w:color="auto" w:sz="4" w:space="0"/>
                    <w:right w:val="single" w:color="auto" w:sz="4" w:space="0"/>
                  </w:tcBorders>
                  <w:vAlign w:val="center"/>
                </w:tcPr>
                <w:p>
                  <w:pPr>
                    <w:pStyle w:val="67"/>
                    <w:rPr>
                      <w:rFonts w:asciiTheme="minorEastAsia" w:hAnsiTheme="minorEastAsia" w:eastAsiaTheme="minorEastAsia"/>
                      <w:sz w:val="18"/>
                      <w:szCs w:val="18"/>
                    </w:rPr>
                  </w:pPr>
                  <w:r>
                    <w:rPr>
                      <w:rStyle w:val="61"/>
                      <w:rFonts w:hint="eastAsia" w:asciiTheme="minorEastAsia" w:hAnsiTheme="minorEastAsia" w:eastAsiaTheme="minorEastAsia"/>
                      <w:sz w:val="18"/>
                      <w:szCs w:val="18"/>
                    </w:rPr>
                    <w:t>通川区土壤优先保护区</w:t>
                  </w:r>
                  <w:r>
                    <w:rPr>
                      <w:rFonts w:hint="eastAsia" w:asciiTheme="minorEastAsia" w:hAnsiTheme="minorEastAsia" w:eastAsiaTheme="minorEastAsia"/>
                      <w:sz w:val="18"/>
                      <w:szCs w:val="18"/>
                    </w:rPr>
                    <w:t>、</w:t>
                  </w:r>
                  <w:r>
                    <w:rPr>
                      <w:rStyle w:val="61"/>
                      <w:rFonts w:hint="eastAsia" w:asciiTheme="minorEastAsia" w:hAnsiTheme="minorEastAsia" w:eastAsiaTheme="minorEastAsia"/>
                      <w:sz w:val="18"/>
                      <w:szCs w:val="18"/>
                    </w:rPr>
                    <w:t>YS5117021410001</w:t>
                  </w:r>
                  <w:r>
                    <w:rPr>
                      <w:rFonts w:hint="eastAsia" w:asciiTheme="minorEastAsia" w:hAnsiTheme="minorEastAsia" w:eastAsiaTheme="minorEastAsia"/>
                      <w:sz w:val="18"/>
                      <w:szCs w:val="18"/>
                    </w:rPr>
                    <w:t>、</w:t>
                  </w:r>
                  <w:r>
                    <w:rPr>
                      <w:rStyle w:val="61"/>
                      <w:rFonts w:hint="eastAsia" w:asciiTheme="minorEastAsia" w:hAnsiTheme="minorEastAsia" w:eastAsiaTheme="minorEastAsia"/>
                      <w:sz w:val="18"/>
                      <w:szCs w:val="18"/>
                    </w:rPr>
                    <w:t>农用地优先保护区</w:t>
                  </w:r>
                </w:p>
              </w:tc>
              <w:tc>
                <w:tcPr>
                  <w:tcW w:w="567" w:type="dxa"/>
                  <w:vMerge w:val="restart"/>
                  <w:tcBorders>
                    <w:top w:val="nil"/>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r>
                    <w:rPr>
                      <w:rFonts w:hint="eastAsia" w:asciiTheme="minorEastAsia" w:hAnsiTheme="minorEastAsia" w:eastAsiaTheme="minorEastAsia"/>
                      <w:sz w:val="18"/>
                      <w:szCs w:val="18"/>
                    </w:rPr>
                    <w:t>达州市普适性清单管控要求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40"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禁止开发建设活动的要求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限制开发建设活动的要求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不符合空间布局要求活动的退出要求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其他空间布局约束要求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78" w:hRule="atLeast"/>
                <w:jc w:val="center"/>
              </w:trPr>
              <w:tc>
                <w:tcPr>
                  <w:tcW w:w="906" w:type="dxa"/>
                  <w:gridSpan w:val="2"/>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40"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允许排放量要求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现有源提标升级改造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其他污染物排放管控要求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78" w:hRule="atLeast"/>
                <w:jc w:val="center"/>
              </w:trPr>
              <w:tc>
                <w:tcPr>
                  <w:tcW w:w="906" w:type="dxa"/>
                  <w:gridSpan w:val="2"/>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40"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联防联控要求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其他环境风险防控要求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78" w:hRule="atLeast"/>
                <w:jc w:val="center"/>
              </w:trPr>
              <w:tc>
                <w:tcPr>
                  <w:tcW w:w="906" w:type="dxa"/>
                  <w:gridSpan w:val="2"/>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p>
              </w:tc>
              <w:tc>
                <w:tcPr>
                  <w:tcW w:w="567" w:type="dxa"/>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40" w:type="dxa"/>
                  <w:tcBorders>
                    <w:top w:val="single" w:color="auto" w:sz="4" w:space="0"/>
                    <w:left w:val="single" w:color="auto" w:sz="4" w:space="0"/>
                    <w:bottom w:val="single" w:color="auto" w:sz="4" w:space="0"/>
                    <w:right w:val="single" w:color="auto" w:sz="4" w:space="0"/>
                  </w:tcBorders>
                  <w:vAlign w:val="center"/>
                </w:tcPr>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水资源利用总量要求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地下水开采要求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能源利用总量及效率要求 暂无</w:t>
                  </w:r>
                </w:p>
                <w:p>
                  <w:pPr>
                    <w:pStyle w:val="62"/>
                    <w:spacing w:line="240" w:lineRule="exact"/>
                    <w:ind w:firstLine="0" w:firstLineChars="0"/>
                    <w:rPr>
                      <w:rStyle w:val="61"/>
                      <w:rFonts w:asciiTheme="minorEastAsia" w:hAnsiTheme="minorEastAsia" w:eastAsiaTheme="minorEastAsia"/>
                      <w:kern w:val="0"/>
                      <w:sz w:val="18"/>
                      <w:szCs w:val="18"/>
                    </w:rPr>
                  </w:pPr>
                  <w:r>
                    <w:rPr>
                      <w:rStyle w:val="61"/>
                      <w:rFonts w:hint="eastAsia" w:asciiTheme="minorEastAsia" w:hAnsiTheme="minorEastAsia" w:eastAsiaTheme="minorEastAsia"/>
                      <w:kern w:val="0"/>
                      <w:sz w:val="18"/>
                      <w:szCs w:val="18"/>
                    </w:rPr>
                    <w:t>禁燃区要求   暂无</w:t>
                  </w:r>
                </w:p>
                <w:p>
                  <w:pPr>
                    <w:pStyle w:val="62"/>
                    <w:spacing w:line="240" w:lineRule="exact"/>
                    <w:ind w:firstLine="0" w:firstLineChars="0"/>
                    <w:rPr>
                      <w:rFonts w:asciiTheme="minorEastAsia" w:hAnsiTheme="minorEastAsia" w:eastAsiaTheme="minorEastAsia"/>
                      <w:sz w:val="18"/>
                      <w:szCs w:val="18"/>
                    </w:rPr>
                  </w:pPr>
                  <w:r>
                    <w:rPr>
                      <w:rStyle w:val="61"/>
                      <w:rFonts w:hint="eastAsia" w:asciiTheme="minorEastAsia" w:hAnsiTheme="minorEastAsia" w:eastAsiaTheme="minorEastAsia"/>
                      <w:kern w:val="0"/>
                      <w:sz w:val="18"/>
                      <w:szCs w:val="18"/>
                    </w:rPr>
                    <w:t>其他资源利用效率要求   暂无</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117" w:hRule="atLeast"/>
                <w:jc w:val="center"/>
              </w:trPr>
              <w:tc>
                <w:tcPr>
                  <w:tcW w:w="906" w:type="dxa"/>
                  <w:gridSpan w:val="2"/>
                  <w:vMerge w:val="continue"/>
                  <w:tcBorders>
                    <w:left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p>
              </w:tc>
              <w:tc>
                <w:tcPr>
                  <w:tcW w:w="567" w:type="dxa"/>
                  <w:vMerge w:val="restart"/>
                  <w:tcBorders>
                    <w:top w:val="nil"/>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单元级清单管控要求</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空间布局约束</w:t>
                  </w:r>
                </w:p>
              </w:tc>
              <w:tc>
                <w:tcPr>
                  <w:tcW w:w="6940"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禁止开发建设活动的要求</w:t>
                  </w:r>
                </w:p>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限制开发建设活动的要求</w:t>
                  </w:r>
                </w:p>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允许开发建设活动的要求</w:t>
                  </w:r>
                </w:p>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不符合空间布局要求活动的退出要求</w:t>
                  </w:r>
                </w:p>
                <w:p>
                  <w:pPr>
                    <w:spacing w:line="240" w:lineRule="exact"/>
                    <w:rPr>
                      <w:rFonts w:asciiTheme="minorEastAsia" w:hAnsiTheme="minorEastAsia" w:eastAsiaTheme="minorEastAsia"/>
                      <w:sz w:val="18"/>
                      <w:szCs w:val="18"/>
                    </w:rPr>
                  </w:pPr>
                  <w:r>
                    <w:rPr>
                      <w:rFonts w:hint="eastAsia" w:asciiTheme="minorEastAsia" w:hAnsiTheme="minorEastAsia" w:eastAsiaTheme="minorEastAsia"/>
                      <w:sz w:val="18"/>
                      <w:szCs w:val="18"/>
                    </w:rPr>
                    <w:t>其他空间布局约束要求</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213" w:hRule="atLeast"/>
                <w:jc w:val="center"/>
              </w:trPr>
              <w:tc>
                <w:tcPr>
                  <w:tcW w:w="906" w:type="dxa"/>
                  <w:gridSpan w:val="2"/>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污染物排放管控</w:t>
                  </w:r>
                </w:p>
              </w:tc>
              <w:tc>
                <w:tcPr>
                  <w:tcW w:w="69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117" w:hRule="atLeast"/>
                <w:jc w:val="center"/>
              </w:trPr>
              <w:tc>
                <w:tcPr>
                  <w:tcW w:w="906" w:type="dxa"/>
                  <w:gridSpan w:val="2"/>
                  <w:vMerge w:val="continue"/>
                  <w:tcBorders>
                    <w:left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环境风险防控</w:t>
                  </w:r>
                </w:p>
              </w:tc>
              <w:tc>
                <w:tcPr>
                  <w:tcW w:w="6940" w:type="dxa"/>
                  <w:tcBorders>
                    <w:top w:val="single" w:color="auto" w:sz="4" w:space="0"/>
                    <w:left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gridSpan w:val="2"/>
                  <w:tcBorders>
                    <w:top w:val="single" w:color="auto" w:sz="4" w:space="0"/>
                    <w:left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top w:val="single" w:color="auto" w:sz="4" w:space="0"/>
                    <w:left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0" w:type="dxa"/>
                <w:trHeight w:val="60" w:hRule="atLeast"/>
                <w:jc w:val="center"/>
              </w:trPr>
              <w:tc>
                <w:tcPr>
                  <w:tcW w:w="906" w:type="dxa"/>
                  <w:gridSpan w:val="2"/>
                  <w:vMerge w:val="continue"/>
                  <w:tcBorders>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bCs/>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rFonts w:asciiTheme="minorEastAsia" w:hAnsiTheme="minorEastAsia" w:eastAsiaTheme="minorEastAsia"/>
                      <w:sz w:val="18"/>
                      <w:szCs w:val="18"/>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bCs/>
                      <w:sz w:val="18"/>
                      <w:szCs w:val="18"/>
                    </w:rPr>
                  </w:pPr>
                  <w:r>
                    <w:rPr>
                      <w:rFonts w:hint="eastAsia" w:asciiTheme="minorEastAsia" w:hAnsiTheme="minorEastAsia" w:eastAsiaTheme="minorEastAsia"/>
                      <w:bCs/>
                      <w:sz w:val="18"/>
                      <w:szCs w:val="18"/>
                    </w:rPr>
                    <w:t>资源开发效率要求</w:t>
                  </w:r>
                </w:p>
              </w:tc>
              <w:tc>
                <w:tcPr>
                  <w:tcW w:w="6940" w:type="dxa"/>
                  <w:tcBorders>
                    <w:left w:val="single" w:color="auto" w:sz="4" w:space="0"/>
                    <w:bottom w:val="single" w:color="auto" w:sz="4" w:space="0"/>
                    <w:right w:val="single" w:color="auto" w:sz="4" w:space="0"/>
                  </w:tcBorders>
                  <w:vAlign w:val="center"/>
                </w:tcPr>
                <w:p>
                  <w:pPr>
                    <w:spacing w:line="24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gridSpan w:val="2"/>
                  <w:tcBorders>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662" w:type="dxa"/>
                  <w:gridSpan w:val="2"/>
                  <w:tcBorders>
                    <w:left w:val="single" w:color="auto" w:sz="4" w:space="0"/>
                    <w:bottom w:val="single" w:color="auto" w:sz="4" w:space="0"/>
                    <w:right w:val="single" w:color="auto" w:sz="4" w:space="0"/>
                  </w:tcBorders>
                  <w:vAlign w:val="center"/>
                </w:tcPr>
                <w:p>
                  <w:pPr>
                    <w:pStyle w:val="62"/>
                    <w:widowControl/>
                    <w:shd w:val="clear" w:color="auto" w:fill="FFFFFF"/>
                    <w:spacing w:line="240" w:lineRule="exact"/>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bl>
          <w:p>
            <w:pPr>
              <w:widowControl/>
              <w:spacing w:line="40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本项目建设符合“三线一单”管控机制要求，项目建设可行。</w:t>
            </w:r>
          </w:p>
          <w:p>
            <w:pPr>
              <w:pStyle w:val="15"/>
            </w:pPr>
          </w:p>
          <w:p>
            <w:pPr>
              <w:pStyle w:val="15"/>
              <w:spacing w:after="0" w:line="240" w:lineRule="exact"/>
            </w:pPr>
          </w:p>
          <w:p>
            <w:pPr>
              <w:pStyle w:val="15"/>
              <w:spacing w:after="0" w:line="240" w:lineRule="exact"/>
            </w:pPr>
          </w:p>
          <w:p>
            <w:pPr>
              <w:pStyle w:val="15"/>
              <w:spacing w:after="0" w:line="240" w:lineRule="exact"/>
            </w:pPr>
          </w:p>
        </w:tc>
      </w:tr>
    </w:tbl>
    <w:p>
      <w:pPr>
        <w:widowControl/>
        <w:spacing w:line="360" w:lineRule="auto"/>
        <w:jc w:val="left"/>
        <w:rPr>
          <w:rFonts w:eastAsia="黑体"/>
          <w:sz w:val="30"/>
        </w:rPr>
        <w:sectPr>
          <w:pgSz w:w="16838" w:h="11906" w:orient="landscape"/>
          <w:pgMar w:top="1531" w:right="1701" w:bottom="1531" w:left="1701" w:header="851" w:footer="1077" w:gutter="0"/>
          <w:pgNumType w:fmt="numberInDash"/>
          <w:cols w:space="720" w:num="1"/>
          <w:docGrid w:linePitch="286" w:charSpace="0"/>
        </w:sect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6"/>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tcPr>
          <w:p>
            <w:pPr>
              <w:widowControl/>
              <w:spacing w:line="360" w:lineRule="auto"/>
              <w:jc w:val="left"/>
              <w:rPr>
                <w:rFonts w:eastAsia="黑体"/>
                <w:sz w:val="30"/>
              </w:rPr>
            </w:pPr>
          </w:p>
        </w:tc>
        <w:tc>
          <w:tcPr>
            <w:tcW w:w="6901" w:type="dxa"/>
          </w:tcPr>
          <w:p>
            <w:pPr>
              <w:widowControl/>
              <w:spacing w:line="400" w:lineRule="exact"/>
              <w:jc w:val="left"/>
              <w:rPr>
                <w:rFonts w:eastAsia="黑体"/>
                <w:kern w:val="0"/>
              </w:rPr>
            </w:pPr>
            <w:r>
              <w:rPr>
                <w:rFonts w:hint="eastAsia" w:eastAsia="黑体"/>
                <w:szCs w:val="21"/>
              </w:rPr>
              <w:t>4、</w:t>
            </w:r>
            <w:r>
              <w:rPr>
                <w:rFonts w:hint="eastAsia" w:eastAsia="黑体"/>
                <w:kern w:val="0"/>
              </w:rPr>
              <w:t>大气污染防治的符合性分析</w:t>
            </w:r>
          </w:p>
          <w:p>
            <w:pPr>
              <w:autoSpaceDE w:val="0"/>
              <w:autoSpaceDN w:val="0"/>
              <w:adjustRightInd w:val="0"/>
              <w:snapToGrid w:val="0"/>
              <w:spacing w:line="360" w:lineRule="exact"/>
              <w:jc w:val="center"/>
              <w:rPr>
                <w:rFonts w:eastAsia="黑体"/>
                <w:kern w:val="0"/>
                <w:sz w:val="18"/>
                <w:szCs w:val="20"/>
              </w:rPr>
            </w:pPr>
            <w:r>
              <w:rPr>
                <w:rFonts w:hint="eastAsia" w:ascii="黑体" w:hAnsi="黑体" w:eastAsia="黑体"/>
                <w:kern w:val="0"/>
                <w:sz w:val="18"/>
                <w:szCs w:val="20"/>
              </w:rPr>
              <w:t xml:space="preserve">表1-5   </w:t>
            </w:r>
            <w:r>
              <w:rPr>
                <w:rFonts w:ascii="黑体" w:hAnsi="黑体" w:eastAsia="黑体"/>
                <w:kern w:val="0"/>
                <w:sz w:val="18"/>
                <w:szCs w:val="20"/>
              </w:rPr>
              <w:t>项目与</w:t>
            </w:r>
            <w:r>
              <w:rPr>
                <w:rFonts w:eastAsia="黑体"/>
                <w:kern w:val="0"/>
                <w:sz w:val="18"/>
                <w:szCs w:val="20"/>
              </w:rPr>
              <w:t>“</w:t>
            </w:r>
            <w:r>
              <w:rPr>
                <w:rFonts w:ascii="黑体" w:hAnsi="黑体" w:eastAsia="黑体"/>
                <w:kern w:val="0"/>
                <w:sz w:val="18"/>
                <w:szCs w:val="20"/>
              </w:rPr>
              <w:t>大气污染防治法</w:t>
            </w:r>
            <w:r>
              <w:rPr>
                <w:rFonts w:eastAsia="黑体"/>
                <w:kern w:val="0"/>
                <w:sz w:val="18"/>
                <w:szCs w:val="20"/>
              </w:rPr>
              <w:t>”</w:t>
            </w:r>
            <w:r>
              <w:rPr>
                <w:rFonts w:ascii="黑体" w:hAnsi="黑体" w:eastAsia="黑体"/>
                <w:kern w:val="0"/>
                <w:sz w:val="18"/>
                <w:szCs w:val="20"/>
              </w:rPr>
              <w:t>的符合性分析</w:t>
            </w:r>
          </w:p>
          <w:tbl>
            <w:tblPr>
              <w:tblStyle w:val="21"/>
              <w:tblW w:w="6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47"/>
              <w:gridCol w:w="4074"/>
              <w:gridCol w:w="1687"/>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序号</w:t>
                  </w:r>
                </w:p>
              </w:tc>
              <w:tc>
                <w:tcPr>
                  <w:tcW w:w="4074"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原文内容</w:t>
                  </w:r>
                </w:p>
              </w:tc>
              <w:tc>
                <w:tcPr>
                  <w:tcW w:w="1687"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本项目情况</w:t>
                  </w:r>
                </w:p>
              </w:tc>
              <w:tc>
                <w:tcPr>
                  <w:tcW w:w="556" w:type="dxa"/>
                  <w:tcBorders>
                    <w:top w:val="single" w:color="auto"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
                      <w:bCs/>
                      <w:sz w:val="16"/>
                      <w:szCs w:val="18"/>
                    </w:rPr>
                  </w:pPr>
                  <w:r>
                    <w:rPr>
                      <w:rFonts w:ascii="宋体" w:hAnsi="宋体"/>
                      <w:b/>
                      <w:bCs/>
                      <w:sz w:val="16"/>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57"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2"/>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第十八条　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项目按要求开展环境影响评价；严格执行大气污染物排放标准，遵守重点大气污染物排放总量控制要求。</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2"/>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第四十三条　钢铁、建材、有色金属、石油、化工等企业生产过程中排放粉尘、硫化物和氮氧化物的，应当采用清洁生产工艺，配套建设除尘、脱硫、脱硝等装置，或者采取技术改造等其他控制大气污染物排放的措施。</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bCs/>
                      <w:sz w:val="16"/>
                      <w:szCs w:val="18"/>
                    </w:rPr>
                    <w:t>项目新增备用锅炉采用天然气为燃料，属于清洁燃料，能够实现废气达标排放</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2"/>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第四十八条　钢铁、建材、有色金属、石油、化工、制药、矿产开采等企业，应当加强精细化管理，采取集中收集处理等措施，严格控制粉尘和气态污染物的排放。</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本项目不属于钢铁、建材、有色金属、石油、化工、制药、矿产开采等企业</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2"/>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第七十条　运输煤炭、垃圾、渣土、砂石、土方、灰浆等散装、流体物料的车辆应当采取密闭或者其他措施防止物料遗撒造成扬尘污染，并按照规定路线行驶。装卸物料应当采取密闭或者喷淋等方式防治扬尘污染。</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bCs/>
                      <w:sz w:val="16"/>
                      <w:szCs w:val="18"/>
                    </w:rPr>
                    <w:t>本项目不涉及</w:t>
                  </w:r>
                  <w:r>
                    <w:rPr>
                      <w:rFonts w:ascii="宋体" w:hAnsi="宋体"/>
                      <w:bCs/>
                      <w:sz w:val="16"/>
                      <w:szCs w:val="18"/>
                    </w:rPr>
                    <w:t>运输煤炭、垃圾、渣土、砂石、土方、灰浆等散装、流体物料的运输</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3" w:hRule="atLeast"/>
                <w:jc w:val="center"/>
              </w:trPr>
              <w:tc>
                <w:tcPr>
                  <w:tcW w:w="447" w:type="dxa"/>
                  <w:tcBorders>
                    <w:top w:val="single" w:color="000000" w:sz="4" w:space="0"/>
                    <w:left w:val="single" w:color="auto" w:sz="4" w:space="0"/>
                    <w:bottom w:val="single" w:color="000000" w:sz="4" w:space="0"/>
                    <w:right w:val="single" w:color="auto" w:sz="4" w:space="0"/>
                  </w:tcBorders>
                  <w:vAlign w:val="center"/>
                </w:tcPr>
                <w:p>
                  <w:pPr>
                    <w:numPr>
                      <w:ilvl w:val="0"/>
                      <w:numId w:val="2"/>
                    </w:numPr>
                    <w:autoSpaceDE w:val="0"/>
                    <w:adjustRightInd w:val="0"/>
                    <w:snapToGrid w:val="0"/>
                    <w:spacing w:line="280" w:lineRule="exact"/>
                    <w:ind w:left="0" w:firstLine="0"/>
                    <w:jc w:val="center"/>
                    <w:rPr>
                      <w:sz w:val="16"/>
                      <w:szCs w:val="18"/>
                    </w:rPr>
                  </w:pPr>
                </w:p>
              </w:tc>
              <w:tc>
                <w:tcPr>
                  <w:tcW w:w="4074"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第七十二条　贮存煤炭、煤矸石、煤渣、煤灰、水泥、石灰、石膏、砂土等易产生扬尘的物料应当密闭；不能密闭的，应当设置不低于堆放物高度的严密围挡，并采取有效覆盖措施防治扬尘污染。码头、矿山、填埋场和消纳场应当实施分区作业，并采取有效措施防治扬尘污染。</w:t>
                  </w:r>
                </w:p>
              </w:tc>
              <w:tc>
                <w:tcPr>
                  <w:tcW w:w="1687"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left"/>
                    <w:rPr>
                      <w:bCs/>
                      <w:sz w:val="16"/>
                      <w:szCs w:val="18"/>
                    </w:rPr>
                  </w:pPr>
                  <w:r>
                    <w:rPr>
                      <w:rFonts w:ascii="宋体" w:hAnsi="宋体"/>
                      <w:bCs/>
                      <w:sz w:val="16"/>
                      <w:szCs w:val="18"/>
                    </w:rPr>
                    <w:t>本项目不涉及贮存煤炭、煤矸石、煤渣等。</w:t>
                  </w:r>
                </w:p>
              </w:tc>
              <w:tc>
                <w:tcPr>
                  <w:tcW w:w="556" w:type="dxa"/>
                  <w:tcBorders>
                    <w:top w:val="single" w:color="000000" w:sz="4" w:space="0"/>
                    <w:left w:val="single" w:color="auto" w:sz="4" w:space="0"/>
                    <w:bottom w:val="single" w:color="000000" w:sz="4" w:space="0"/>
                    <w:right w:val="single" w:color="auto" w:sz="4" w:space="0"/>
                  </w:tcBorders>
                  <w:vAlign w:val="center"/>
                </w:tcPr>
                <w:p>
                  <w:pPr>
                    <w:autoSpaceDE w:val="0"/>
                    <w:adjustRightInd w:val="0"/>
                    <w:snapToGrid w:val="0"/>
                    <w:spacing w:line="280" w:lineRule="exact"/>
                    <w:jc w:val="center"/>
                    <w:rPr>
                      <w:bCs/>
                      <w:sz w:val="16"/>
                      <w:szCs w:val="18"/>
                    </w:rPr>
                  </w:pPr>
                  <w:r>
                    <w:rPr>
                      <w:rFonts w:ascii="宋体" w:hAnsi="宋体"/>
                      <w:bCs/>
                      <w:sz w:val="16"/>
                      <w:szCs w:val="18"/>
                    </w:rPr>
                    <w:t>符合</w:t>
                  </w:r>
                </w:p>
              </w:tc>
            </w:tr>
          </w:tbl>
          <w:p>
            <w:pPr>
              <w:widowControl/>
              <w:spacing w:line="400" w:lineRule="exact"/>
              <w:jc w:val="left"/>
              <w:rPr>
                <w:rFonts w:eastAsia="黑体"/>
                <w:szCs w:val="21"/>
              </w:rPr>
            </w:pPr>
            <w:r>
              <w:rPr>
                <w:rFonts w:hint="eastAsia" w:eastAsia="黑体"/>
                <w:szCs w:val="21"/>
              </w:rPr>
              <w:t>5、与《四川省、重庆市长江经济带发展负面清单实施细则(试行，2022年版）》的符合性分析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bCs/>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》（川长江办〔2022〕17号）。本项目与《四川省、重庆市长江经济带发展负面清单实施细则(试行，2022年版）》的符合性分析见下表</w:t>
            </w:r>
            <w:r>
              <w:rPr>
                <w:rFonts w:hint="eastAsia" w:cs="宋体"/>
                <w:kern w:val="0"/>
                <w:sz w:val="20"/>
                <w:szCs w:val="21"/>
              </w:rPr>
              <w:t>。</w:t>
            </w:r>
          </w:p>
          <w:p>
            <w:pPr>
              <w:adjustRightInd w:val="0"/>
              <w:snapToGrid w:val="0"/>
              <w:spacing w:line="400" w:lineRule="exact"/>
              <w:jc w:val="center"/>
              <w:rPr>
                <w:rFonts w:eastAsia="黑体"/>
                <w:bCs/>
                <w:kern w:val="0"/>
                <w:sz w:val="20"/>
                <w:szCs w:val="21"/>
              </w:rPr>
            </w:pPr>
            <w:r>
              <w:rPr>
                <w:b/>
                <w:bCs/>
                <w:kern w:val="0"/>
                <w:sz w:val="18"/>
                <w:szCs w:val="18"/>
              </w:rPr>
              <w:t>表</w:t>
            </w:r>
            <w:r>
              <w:rPr>
                <w:rFonts w:hint="eastAsia"/>
                <w:b/>
                <w:bCs/>
                <w:kern w:val="0"/>
                <w:sz w:val="18"/>
                <w:szCs w:val="18"/>
              </w:rPr>
              <w:t xml:space="preserve">1-8  </w:t>
            </w:r>
            <w:r>
              <w:rPr>
                <w:rFonts w:hint="eastAsia"/>
                <w:b/>
                <w:spacing w:val="-20"/>
                <w:sz w:val="18"/>
                <w:szCs w:val="18"/>
              </w:rPr>
              <w:t>项目与四川省、重庆市长江经济带发展负面清单实施细则(试行，2022年版）的符合性分</w:t>
            </w:r>
            <w:r>
              <w:rPr>
                <w:rFonts w:hint="eastAsia"/>
                <w:b/>
                <w:bCs/>
                <w:spacing w:val="-20"/>
                <w:kern w:val="0"/>
                <w:sz w:val="18"/>
                <w:szCs w:val="18"/>
              </w:rPr>
              <w:t>析</w:t>
            </w:r>
          </w:p>
          <w:tbl>
            <w:tblPr>
              <w:tblStyle w:val="21"/>
              <w:tblW w:w="6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3"/>
              <w:gridCol w:w="3312"/>
              <w:gridCol w:w="2296"/>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tblHeader/>
                <w:jc w:val="center"/>
              </w:trPr>
              <w:tc>
                <w:tcPr>
                  <w:tcW w:w="433"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序号</w:t>
                  </w:r>
                </w:p>
              </w:tc>
              <w:tc>
                <w:tcPr>
                  <w:tcW w:w="3312"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《负面清单》原文内容</w:t>
                  </w:r>
                </w:p>
              </w:tc>
              <w:tc>
                <w:tcPr>
                  <w:tcW w:w="2296"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本项目情况</w:t>
                  </w:r>
                </w:p>
              </w:tc>
              <w:tc>
                <w:tcPr>
                  <w:tcW w:w="528"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tcBorders>
                    <w:top w:val="single" w:color="000000" w:sz="4" w:space="0"/>
                  </w:tcBorders>
                  <w:vAlign w:val="center"/>
                </w:tcPr>
                <w:p>
                  <w:pPr>
                    <w:adjustRightInd w:val="0"/>
                    <w:snapToGrid w:val="0"/>
                    <w:spacing w:line="260" w:lineRule="exact"/>
                    <w:jc w:val="center"/>
                    <w:rPr>
                      <w:sz w:val="15"/>
                      <w:szCs w:val="15"/>
                    </w:rPr>
                  </w:pPr>
                  <w:r>
                    <w:rPr>
                      <w:rFonts w:hint="eastAsia"/>
                      <w:sz w:val="15"/>
                      <w:szCs w:val="15"/>
                    </w:rPr>
                    <w:t>1</w:t>
                  </w:r>
                </w:p>
              </w:tc>
              <w:tc>
                <w:tcPr>
                  <w:tcW w:w="3312" w:type="dxa"/>
                  <w:tcBorders>
                    <w:top w:val="single" w:color="000000" w:sz="4" w:space="0"/>
                  </w:tcBorders>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第七条 禁止在自然保护区核心区、缓冲区的岸线和河段范围内投资建设旅游和生产经营项目。自然保护区的内部未分区的，依照核心区和缓冲区的规定管控。</w:t>
                  </w:r>
                </w:p>
              </w:tc>
              <w:tc>
                <w:tcPr>
                  <w:tcW w:w="2296" w:type="dxa"/>
                  <w:tcBorders>
                    <w:top w:val="single" w:color="000000" w:sz="4" w:space="0"/>
                  </w:tcBorders>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位于通川区东岳镇飞井村七组，选址不涉及</w:t>
                  </w:r>
                  <w:r>
                    <w:rPr>
                      <w:rFonts w:hint="eastAsia" w:ascii="Times New Roman" w:hAnsi="Times New Roman" w:cs="Times New Roman"/>
                      <w:sz w:val="15"/>
                      <w:szCs w:val="15"/>
                    </w:rPr>
                    <w:t>自然保护区核心区、缓冲区的岸线和河段范围</w:t>
                  </w:r>
                  <w:r>
                    <w:rPr>
                      <w:rFonts w:hint="eastAsia" w:cs="Times New Roman"/>
                      <w:sz w:val="15"/>
                      <w:szCs w:val="15"/>
                    </w:rPr>
                    <w:t>。</w:t>
                  </w:r>
                </w:p>
              </w:tc>
              <w:tc>
                <w:tcPr>
                  <w:tcW w:w="528" w:type="dxa"/>
                  <w:tcBorders>
                    <w:top w:val="single" w:color="000000" w:sz="4" w:space="0"/>
                  </w:tcBorders>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2</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第九条 禁止在饮用水水源准保护区的岸线和河段范围内新建、扩建对水体污染严重的建设项目，禁止改建增加排污量的建设项目。</w:t>
                  </w:r>
                </w:p>
              </w:tc>
              <w:tc>
                <w:tcPr>
                  <w:tcW w:w="2296"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本项目距离东面</w:t>
                  </w:r>
                  <w:r>
                    <w:rPr>
                      <w:rFonts w:hint="eastAsia" w:cs="Times New Roman"/>
                      <w:sz w:val="15"/>
                      <w:szCs w:val="15"/>
                    </w:rPr>
                    <w:t>小河沟80m、南面双龙河1630m，建设区域不属于饮用水源保护区范围。</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3</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第十八条 禁止在长江干支流、重要湖泊岸线一公里范围内新建、扩建化工园区和化工项目。</w:t>
                  </w:r>
                </w:p>
              </w:tc>
              <w:tc>
                <w:tcPr>
                  <w:tcW w:w="2296"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不属于化工项目。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4</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第十九条 禁止在长江干流岸线三公里范围内和重要支流岸线一公里范围内新建、改建、扩建尾矿库、冶炼渣库、磷石膏库，以提升安全、生态环境保护水平为目的的改建除外。</w:t>
                  </w:r>
                </w:p>
              </w:tc>
              <w:tc>
                <w:tcPr>
                  <w:tcW w:w="2296" w:type="dxa"/>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为洗涤厂新增燃气锅炉项目，不涉及建设</w:t>
                  </w:r>
                  <w:r>
                    <w:rPr>
                      <w:rFonts w:hint="eastAsia" w:ascii="Times New Roman" w:hAnsi="Times New Roman" w:cs="Times New Roman"/>
                      <w:sz w:val="15"/>
                      <w:szCs w:val="15"/>
                    </w:rPr>
                    <w:t>尾矿库、冶炼渣库、磷石膏库等。</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1"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5</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第二十一条 禁止在合规园区外新建、扩建钢铁、石化、化工、焦化、建材、有色、制浆造纸等高污染项目。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本项目位于东岳新型工业集聚区外，但项目不属于</w:t>
                  </w:r>
                  <w:r>
                    <w:rPr>
                      <w:rFonts w:hint="eastAsia" w:ascii="Times New Roman" w:hAnsi="Times New Roman" w:cs="Times New Roman"/>
                      <w:sz w:val="15"/>
                      <w:szCs w:val="15"/>
                    </w:rPr>
                    <w:t>钢铁、石化、化工、焦化、建材、有色、制浆造纸等高污染项目。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6</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96" w:type="dxa"/>
                  <w:vAlign w:val="center"/>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本项目符合国家现行产业政策，属于</w:t>
                  </w:r>
                  <w:r>
                    <w:rPr>
                      <w:rFonts w:hint="eastAsia" w:ascii="Times New Roman" w:hAnsi="Times New Roman" w:cs="Times New Roman"/>
                      <w:sz w:val="15"/>
                      <w:szCs w:val="15"/>
                    </w:rPr>
                    <w:t>《产业结构调整指导目录》中允许类项目。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5"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7</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本项目为洗涤厂新增燃气锅炉项目，不属于</w:t>
                  </w:r>
                  <w:r>
                    <w:rPr>
                      <w:rFonts w:hint="eastAsia" w:ascii="Times New Roman" w:hAnsi="Times New Roman" w:cs="Times New Roman"/>
                      <w:sz w:val="15"/>
                      <w:szCs w:val="15"/>
                    </w:rPr>
                    <w:t>国家产能置换要求的严重过剩产能行业的项目。</w:t>
                  </w:r>
                </w:p>
              </w:tc>
              <w:tc>
                <w:tcPr>
                  <w:tcW w:w="528"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9" w:hRule="atLeast"/>
                <w:tblHeader/>
                <w:jc w:val="center"/>
              </w:trPr>
              <w:tc>
                <w:tcPr>
                  <w:tcW w:w="433" w:type="dxa"/>
                  <w:vAlign w:val="center"/>
                </w:tcPr>
                <w:p>
                  <w:pPr>
                    <w:adjustRightInd w:val="0"/>
                    <w:snapToGrid w:val="0"/>
                    <w:spacing w:line="260" w:lineRule="exact"/>
                    <w:jc w:val="center"/>
                    <w:rPr>
                      <w:sz w:val="15"/>
                      <w:szCs w:val="15"/>
                    </w:rPr>
                  </w:pPr>
                  <w:r>
                    <w:rPr>
                      <w:rFonts w:hint="eastAsia"/>
                      <w:sz w:val="15"/>
                      <w:szCs w:val="15"/>
                    </w:rPr>
                    <w:t>8</w:t>
                  </w:r>
                </w:p>
              </w:tc>
              <w:tc>
                <w:tcPr>
                  <w:tcW w:w="3312" w:type="dxa"/>
                  <w:vAlign w:val="center"/>
                </w:tcPr>
                <w:p>
                  <w:pPr>
                    <w:pStyle w:val="19"/>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第二十六条 禁止新建、扩建不符合要求的高耗能、高排放、低水平项目。</w:t>
                  </w:r>
                </w:p>
              </w:tc>
              <w:tc>
                <w:tcPr>
                  <w:tcW w:w="2296" w:type="dxa"/>
                </w:tcPr>
                <w:p>
                  <w:pPr>
                    <w:pStyle w:val="19"/>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项目营运期耗能主要为电能、天然气，不属于高耗能、高排放、低水平项目。</w:t>
                  </w:r>
                </w:p>
              </w:tc>
              <w:tc>
                <w:tcPr>
                  <w:tcW w:w="528" w:type="dxa"/>
                  <w:vAlign w:val="center"/>
                </w:tcPr>
                <w:p>
                  <w:pPr>
                    <w:adjustRightInd w:val="0"/>
                    <w:snapToGrid w:val="0"/>
                    <w:spacing w:line="260" w:lineRule="exact"/>
                    <w:jc w:val="center"/>
                    <w:rPr>
                      <w:sz w:val="15"/>
                      <w:szCs w:val="15"/>
                    </w:rPr>
                  </w:pPr>
                  <w:r>
                    <w:rPr>
                      <w:rFonts w:hint="eastAsia"/>
                      <w:sz w:val="15"/>
                      <w:szCs w:val="15"/>
                    </w:rPr>
                    <w:t>符合</w:t>
                  </w:r>
                </w:p>
              </w:tc>
            </w:tr>
          </w:tbl>
          <w:p>
            <w:pPr>
              <w:autoSpaceDE w:val="0"/>
              <w:autoSpaceDN w:val="0"/>
              <w:adjustRightInd w:val="0"/>
              <w:snapToGrid w:val="0"/>
              <w:spacing w:line="400" w:lineRule="exact"/>
              <w:ind w:right="53" w:rightChars="25"/>
              <w:jc w:val="left"/>
              <w:rPr>
                <w:b/>
                <w:bCs/>
                <w:kern w:val="0"/>
              </w:rPr>
            </w:pPr>
            <w:r>
              <w:rPr>
                <w:rFonts w:hint="eastAsia" w:ascii="宋体" w:hAnsi="宋体"/>
                <w:b/>
                <w:bCs/>
                <w:kern w:val="0"/>
              </w:rPr>
              <w:t>6、</w:t>
            </w:r>
            <w:r>
              <w:rPr>
                <w:rFonts w:ascii="宋体" w:hAnsi="宋体"/>
                <w:b/>
                <w:bCs/>
                <w:kern w:val="0"/>
              </w:rPr>
              <w:t>与《四川省嘉陵江流域生态环境保护条例》符合性分析</w:t>
            </w:r>
          </w:p>
          <w:p>
            <w:pPr>
              <w:autoSpaceDE w:val="0"/>
              <w:autoSpaceDN w:val="0"/>
              <w:adjustRightInd w:val="0"/>
              <w:snapToGrid w:val="0"/>
              <w:spacing w:line="400" w:lineRule="exact"/>
              <w:ind w:left="53" w:leftChars="25" w:right="53" w:rightChars="25" w:firstLine="420" w:firstLineChars="200"/>
              <w:jc w:val="left"/>
            </w:pPr>
            <w:r>
              <w:rPr>
                <w:kern w:val="0"/>
              </w:rPr>
              <w:t>2021</w:t>
            </w:r>
            <w:r>
              <w:rPr>
                <w:rFonts w:ascii="宋体" w:hAnsi="宋体"/>
                <w:kern w:val="0"/>
              </w:rPr>
              <w:t>年</w:t>
            </w:r>
            <w:r>
              <w:rPr>
                <w:kern w:val="0"/>
              </w:rPr>
              <w:t>11</w:t>
            </w:r>
            <w:r>
              <w:rPr>
                <w:rFonts w:ascii="宋体" w:hAnsi="宋体"/>
                <w:kern w:val="0"/>
              </w:rPr>
              <w:t>月</w:t>
            </w:r>
            <w:r>
              <w:rPr>
                <w:kern w:val="0"/>
              </w:rPr>
              <w:t>25</w:t>
            </w:r>
            <w:r>
              <w:rPr>
                <w:rFonts w:ascii="宋体" w:hAnsi="宋体"/>
                <w:kern w:val="0"/>
              </w:rPr>
              <w:t>日四川省第十三届人民代表大会常务委员会第三十一会议通过了《四川省嘉陵江流域生态环境保护条例》。项目与《四川省嘉陵江流域生态环境保护条例》的符合性分析见下表。</w:t>
            </w:r>
          </w:p>
          <w:p>
            <w:pPr>
              <w:autoSpaceDE w:val="0"/>
              <w:autoSpaceDN w:val="0"/>
              <w:adjustRightInd w:val="0"/>
              <w:snapToGrid w:val="0"/>
              <w:spacing w:line="360" w:lineRule="exact"/>
              <w:jc w:val="center"/>
              <w:rPr>
                <w:rFonts w:eastAsia="黑体"/>
                <w:kern w:val="0"/>
                <w:sz w:val="18"/>
                <w:szCs w:val="20"/>
              </w:rPr>
            </w:pPr>
            <w:r>
              <w:rPr>
                <w:rFonts w:hint="eastAsia" w:ascii="黑体" w:hAnsi="黑体" w:eastAsia="黑体"/>
                <w:kern w:val="0"/>
                <w:sz w:val="18"/>
                <w:szCs w:val="20"/>
              </w:rPr>
              <w:t xml:space="preserve">表1-9  </w:t>
            </w:r>
            <w:r>
              <w:rPr>
                <w:rFonts w:ascii="黑体" w:hAnsi="黑体" w:eastAsia="黑体"/>
                <w:kern w:val="0"/>
                <w:sz w:val="18"/>
                <w:szCs w:val="20"/>
              </w:rPr>
              <w:t>项目与《四川省嘉陵江流域生态环境保护条例》的符合性分析</w:t>
            </w:r>
          </w:p>
          <w:tbl>
            <w:tblPr>
              <w:tblStyle w:val="21"/>
              <w:tblW w:w="6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6"/>
              <w:gridCol w:w="3761"/>
              <w:gridCol w:w="2035"/>
              <w:gridCol w:w="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序号</w:t>
                  </w:r>
                </w:p>
              </w:tc>
              <w:tc>
                <w:tcPr>
                  <w:tcW w:w="37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原文内容</w:t>
                  </w:r>
                </w:p>
              </w:tc>
              <w:tc>
                <w:tcPr>
                  <w:tcW w:w="20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本项目情况</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8"/>
                    </w:rPr>
                  </w:pPr>
                  <w:r>
                    <w:rPr>
                      <w:rFonts w:ascii="宋体" w:hAnsi="宋体"/>
                      <w:b/>
                      <w:bCs/>
                      <w:sz w:val="15"/>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1</w:t>
                  </w:r>
                </w:p>
              </w:tc>
              <w:tc>
                <w:tcPr>
                  <w:tcW w:w="37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第二十一条</w:t>
                  </w:r>
                  <w:r>
                    <w:rPr>
                      <w:kern w:val="0"/>
                      <w:sz w:val="15"/>
                      <w:szCs w:val="18"/>
                    </w:rPr>
                    <w:t xml:space="preserve"> </w:t>
                  </w:r>
                  <w:r>
                    <w:rPr>
                      <w:rFonts w:ascii="宋体" w:hAnsi="宋体"/>
                      <w:kern w:val="0"/>
                      <w:sz w:val="15"/>
                      <w:szCs w:val="18"/>
                    </w:rPr>
                    <w:t>按照排污许可证的规定排放污染物；禁止未取得排污许可证或者违反排污许可证的规定排放污染物。</w:t>
                  </w:r>
                </w:p>
              </w:tc>
              <w:tc>
                <w:tcPr>
                  <w:tcW w:w="20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rPr>
                      <w:kern w:val="0"/>
                      <w:sz w:val="15"/>
                      <w:szCs w:val="18"/>
                    </w:rPr>
                  </w:pPr>
                  <w:r>
                    <w:rPr>
                      <w:rFonts w:ascii="宋体" w:hAnsi="宋体"/>
                      <w:kern w:val="0"/>
                      <w:sz w:val="15"/>
                      <w:szCs w:val="18"/>
                    </w:rPr>
                    <w:t>项目建成后将按要求完善排污许可证的手续。</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8"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2</w:t>
                  </w:r>
                </w:p>
              </w:tc>
              <w:tc>
                <w:tcPr>
                  <w:tcW w:w="37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第六十八条</w:t>
                  </w:r>
                  <w:r>
                    <w:rPr>
                      <w:kern w:val="0"/>
                      <w:sz w:val="15"/>
                      <w:szCs w:val="18"/>
                    </w:rPr>
                    <w:t xml:space="preserve"> </w:t>
                  </w:r>
                  <w:r>
                    <w:rPr>
                      <w:rFonts w:ascii="宋体" w:hAnsi="宋体"/>
                      <w:kern w:val="0"/>
                      <w:sz w:val="15"/>
                      <w:szCs w:val="18"/>
                    </w:rPr>
                    <w:t>矿产资源开发企业应当依法履行尾矿库安全生产、环境保护主体责任，排查治理安全隐患和环境风险，确保尾矿库安全运行，对尾矿库安全终身负责。对已解散或者关闭、破产的矿产资源开发企业尾矿库的管理，无法确定责任人的，由县级以上地方人民政府负责。</w:t>
                  </w:r>
                </w:p>
              </w:tc>
              <w:tc>
                <w:tcPr>
                  <w:tcW w:w="20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rPr>
                      <w:kern w:val="0"/>
                      <w:sz w:val="15"/>
                      <w:szCs w:val="18"/>
                    </w:rPr>
                  </w:pPr>
                  <w:r>
                    <w:rPr>
                      <w:rFonts w:ascii="宋体" w:hAnsi="宋体"/>
                      <w:kern w:val="0"/>
                      <w:sz w:val="15"/>
                      <w:szCs w:val="18"/>
                    </w:rPr>
                    <w:t>项目主要洗涤厂新增备用燃气锅炉项目，不属于尾矿库。</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3</w:t>
                  </w:r>
                </w:p>
              </w:tc>
              <w:tc>
                <w:tcPr>
                  <w:tcW w:w="37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第七十三条</w:t>
                  </w:r>
                  <w:r>
                    <w:rPr>
                      <w:kern w:val="0"/>
                      <w:sz w:val="15"/>
                      <w:szCs w:val="18"/>
                    </w:rPr>
                    <w:t xml:space="preserve"> </w:t>
                  </w:r>
                  <w:r>
                    <w:rPr>
                      <w:rFonts w:ascii="宋体" w:hAnsi="宋体"/>
                      <w:kern w:val="0"/>
                      <w:sz w:val="15"/>
                      <w:szCs w:val="18"/>
                    </w:rPr>
                    <w:t>禁止在嘉陵江流域河湖管理范围内倾倒、填埋、堆放、弃置、处理固体废物。</w:t>
                  </w:r>
                </w:p>
              </w:tc>
              <w:tc>
                <w:tcPr>
                  <w:tcW w:w="20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本项目为洗涤厂新增备用燃气锅炉项目，不涉及倾倒、填埋、堆放、弃置、处理固体废物。。</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4</w:t>
                  </w:r>
                </w:p>
              </w:tc>
              <w:tc>
                <w:tcPr>
                  <w:tcW w:w="37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left"/>
                    <w:rPr>
                      <w:bCs/>
                      <w:spacing w:val="-2"/>
                      <w:sz w:val="15"/>
                      <w:szCs w:val="18"/>
                    </w:rPr>
                  </w:pPr>
                  <w:r>
                    <w:rPr>
                      <w:rFonts w:ascii="宋体" w:hAnsi="宋体"/>
                      <w:bCs/>
                      <w:spacing w:val="-2"/>
                      <w:sz w:val="15"/>
                      <w:szCs w:val="18"/>
                    </w:rPr>
                    <w:t>第七十七条</w:t>
                  </w:r>
                  <w:r>
                    <w:rPr>
                      <w:bCs/>
                      <w:spacing w:val="-2"/>
                      <w:sz w:val="15"/>
                      <w:szCs w:val="18"/>
                    </w:rPr>
                    <w:t xml:space="preserve"> </w:t>
                  </w:r>
                  <w:r>
                    <w:rPr>
                      <w:rFonts w:ascii="宋体" w:hAnsi="宋体"/>
                      <w:bCs/>
                      <w:spacing w:val="-2"/>
                      <w:sz w:val="15"/>
                      <w:szCs w:val="18"/>
                    </w:rPr>
                    <w:t>嘉陵江流域产业结构和布局应当与流域生态系统和资源环境承载能力相适应。禁止在嘉陵江流域重点生态功能区布局对生态系统有严重影响的产业。禁止重污染企业和项目向嘉陵江流域转移。</w:t>
                  </w:r>
                </w:p>
              </w:tc>
              <w:tc>
                <w:tcPr>
                  <w:tcW w:w="203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left"/>
                    <w:rPr>
                      <w:bCs/>
                      <w:sz w:val="15"/>
                      <w:szCs w:val="18"/>
                    </w:rPr>
                  </w:pPr>
                  <w:r>
                    <w:rPr>
                      <w:rFonts w:ascii="宋体" w:hAnsi="宋体"/>
                      <w:bCs/>
                      <w:sz w:val="15"/>
                      <w:szCs w:val="18"/>
                    </w:rPr>
                    <w:t>本项目为</w:t>
                  </w:r>
                  <w:r>
                    <w:rPr>
                      <w:rFonts w:ascii="宋体" w:hAnsi="宋体"/>
                      <w:kern w:val="0"/>
                      <w:sz w:val="15"/>
                      <w:szCs w:val="18"/>
                    </w:rPr>
                    <w:t>洗涤厂新增备用燃气锅炉项目</w:t>
                  </w:r>
                  <w:r>
                    <w:rPr>
                      <w:rFonts w:ascii="宋体" w:hAnsi="宋体"/>
                      <w:bCs/>
                      <w:sz w:val="15"/>
                      <w:szCs w:val="18"/>
                    </w:rPr>
                    <w:t>，营运期生产废水属于清净下水，处理后达标排入东岳场镇污水处理厂，不属于重污染企业和项目。</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 w:hRule="atLeast"/>
                <w:jc w:val="center"/>
              </w:trPr>
              <w:tc>
                <w:tcPr>
                  <w:tcW w:w="4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sz w:val="15"/>
                      <w:szCs w:val="18"/>
                    </w:rPr>
                    <w:t>5</w:t>
                  </w:r>
                </w:p>
              </w:tc>
              <w:tc>
                <w:tcPr>
                  <w:tcW w:w="376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第八十条</w:t>
                  </w:r>
                  <w:r>
                    <w:rPr>
                      <w:kern w:val="0"/>
                      <w:sz w:val="15"/>
                      <w:szCs w:val="18"/>
                    </w:rPr>
                    <w:t xml:space="preserve"> </w:t>
                  </w:r>
                  <w:r>
                    <w:rPr>
                      <w:rFonts w:ascii="宋体" w:hAnsi="宋体"/>
                      <w:kern w:val="0"/>
                      <w:sz w:val="15"/>
                      <w:szCs w:val="18"/>
                    </w:rPr>
                    <w:t>限期禁止生产、销售、进口、使用、转让严重污染水环境的工艺和设备。</w:t>
                  </w:r>
                </w:p>
              </w:tc>
              <w:tc>
                <w:tcPr>
                  <w:tcW w:w="203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60" w:lineRule="exact"/>
                    <w:jc w:val="left"/>
                    <w:rPr>
                      <w:kern w:val="0"/>
                      <w:sz w:val="15"/>
                      <w:szCs w:val="18"/>
                    </w:rPr>
                  </w:pPr>
                  <w:r>
                    <w:rPr>
                      <w:rFonts w:ascii="宋体" w:hAnsi="宋体"/>
                      <w:kern w:val="0"/>
                      <w:sz w:val="15"/>
                      <w:szCs w:val="18"/>
                    </w:rPr>
                    <w:t>项目所用的设备、工艺不属于严重污染水环境的工艺和设备。</w:t>
                  </w:r>
                </w:p>
              </w:tc>
              <w:tc>
                <w:tcPr>
                  <w:tcW w:w="53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8"/>
                    </w:rPr>
                  </w:pPr>
                  <w:r>
                    <w:rPr>
                      <w:rFonts w:ascii="宋体" w:hAnsi="宋体"/>
                      <w:sz w:val="15"/>
                      <w:szCs w:val="18"/>
                    </w:rPr>
                    <w:t>符合</w:t>
                  </w:r>
                </w:p>
              </w:tc>
            </w:tr>
          </w:tbl>
          <w:p>
            <w:pPr>
              <w:autoSpaceDE w:val="0"/>
              <w:autoSpaceDN w:val="0"/>
              <w:adjustRightInd w:val="0"/>
              <w:snapToGrid w:val="0"/>
              <w:spacing w:line="400" w:lineRule="exact"/>
              <w:jc w:val="left"/>
              <w:rPr>
                <w:rFonts w:eastAsia="黑体"/>
                <w:bCs/>
                <w:szCs w:val="21"/>
              </w:rPr>
            </w:pPr>
            <w:r>
              <w:rPr>
                <w:rFonts w:hint="eastAsia" w:eastAsia="黑体"/>
                <w:bCs/>
                <w:szCs w:val="21"/>
              </w:rPr>
              <w:t>7、外环境关系介绍</w:t>
            </w:r>
          </w:p>
          <w:p>
            <w:pPr>
              <w:autoSpaceDE w:val="0"/>
              <w:autoSpaceDN w:val="0"/>
              <w:adjustRightInd w:val="0"/>
              <w:snapToGrid w:val="0"/>
              <w:spacing w:line="400" w:lineRule="exact"/>
              <w:ind w:firstLine="420" w:firstLineChars="200"/>
              <w:jc w:val="left"/>
              <w:rPr>
                <w:bCs/>
                <w:szCs w:val="21"/>
              </w:rPr>
            </w:pPr>
            <w:r>
              <w:rPr>
                <w:rFonts w:hint="eastAsia"/>
                <w:bCs/>
                <w:szCs w:val="21"/>
              </w:rPr>
              <w:t>根据现场踏勘，本项目</w:t>
            </w:r>
            <w:r>
              <w:rPr>
                <w:bCs/>
                <w:szCs w:val="21"/>
              </w:rPr>
              <w:t>位于达州市通川区东岳镇飞井村七组，</w:t>
            </w:r>
            <w:r>
              <w:rPr>
                <w:rFonts w:hint="eastAsia"/>
                <w:bCs/>
                <w:szCs w:val="21"/>
              </w:rPr>
              <w:t>其外环境关系介绍如下：</w:t>
            </w:r>
          </w:p>
          <w:p>
            <w:pPr>
              <w:autoSpaceDE w:val="0"/>
              <w:autoSpaceDN w:val="0"/>
              <w:adjustRightInd w:val="0"/>
              <w:snapToGrid w:val="0"/>
              <w:spacing w:line="400" w:lineRule="exact"/>
              <w:ind w:firstLine="420" w:firstLineChars="200"/>
              <w:jc w:val="left"/>
              <w:rPr>
                <w:bCs/>
                <w:szCs w:val="21"/>
              </w:rPr>
            </w:pPr>
            <w:r>
              <w:rPr>
                <w:rFonts w:hint="eastAsia"/>
                <w:bCs/>
                <w:szCs w:val="21"/>
              </w:rPr>
              <w:t>项目新建备用燃气锅炉位于洗涤厂厂区范围内的洗涤车间东北侧。项目东面为大片农田且地势较低，以东为魏复路，道路旁相距约110m处有2户住户。项目东南面魏复路旁相距约130m处有2户住户。项目南面为山坡，以南相距约100m有4户住户，距离洗涤车间约50m。东岳场镇范围位于项目南面约1.2km处。项目西面为大片农地且地势较高，相距约86m处为襄渝铁路。项目北面紧邻一家洗涤厂。项目东北面山坡下相距65m处有1户住户。</w:t>
            </w:r>
          </w:p>
          <w:p>
            <w:pPr>
              <w:autoSpaceDE w:val="0"/>
              <w:autoSpaceDN w:val="0"/>
              <w:adjustRightInd w:val="0"/>
              <w:snapToGrid w:val="0"/>
              <w:spacing w:line="400" w:lineRule="exact"/>
              <w:ind w:firstLine="420" w:firstLineChars="200"/>
              <w:jc w:val="left"/>
              <w:rPr>
                <w:bCs/>
                <w:szCs w:val="21"/>
              </w:rPr>
            </w:pPr>
            <w:r>
              <w:rPr>
                <w:rFonts w:hint="eastAsia"/>
                <w:bCs/>
                <w:szCs w:val="21"/>
              </w:rPr>
              <w:t>与项目有关的地表水体为东面</w:t>
            </w:r>
            <w:r>
              <w:rPr>
                <w:bCs/>
                <w:szCs w:val="21"/>
              </w:rPr>
              <w:t>小河沟</w:t>
            </w:r>
            <w:r>
              <w:rPr>
                <w:rFonts w:hint="eastAsia"/>
                <w:bCs/>
                <w:szCs w:val="21"/>
              </w:rPr>
              <w:t>及南面双龙河</w:t>
            </w:r>
            <w:r>
              <w:rPr>
                <w:bCs/>
                <w:szCs w:val="21"/>
              </w:rPr>
              <w:t>，</w:t>
            </w:r>
            <w:r>
              <w:rPr>
                <w:rFonts w:hint="eastAsia"/>
                <w:bCs/>
                <w:szCs w:val="21"/>
              </w:rPr>
              <w:t>小河沟</w:t>
            </w:r>
            <w:r>
              <w:rPr>
                <w:bCs/>
                <w:szCs w:val="21"/>
              </w:rPr>
              <w:t>与项目直线距离最近约</w:t>
            </w:r>
            <w:r>
              <w:rPr>
                <w:rFonts w:hint="eastAsia"/>
                <w:bCs/>
                <w:szCs w:val="21"/>
              </w:rPr>
              <w:t>80</w:t>
            </w:r>
            <w:r>
              <w:rPr>
                <w:bCs/>
                <w:szCs w:val="21"/>
              </w:rPr>
              <w:t>m。双龙河位于项目南面，直线距离最近约</w:t>
            </w:r>
            <w:r>
              <w:rPr>
                <w:rFonts w:hint="eastAsia"/>
                <w:bCs/>
                <w:szCs w:val="21"/>
              </w:rPr>
              <w:t>1630</w:t>
            </w:r>
            <w:r>
              <w:rPr>
                <w:bCs/>
                <w:szCs w:val="21"/>
              </w:rPr>
              <w:t>m。</w:t>
            </w:r>
          </w:p>
          <w:p>
            <w:pPr>
              <w:autoSpaceDE w:val="0"/>
              <w:autoSpaceDN w:val="0"/>
              <w:adjustRightInd w:val="0"/>
              <w:snapToGrid w:val="0"/>
              <w:spacing w:line="400" w:lineRule="exact"/>
              <w:jc w:val="left"/>
              <w:rPr>
                <w:rFonts w:eastAsia="黑体"/>
                <w:bCs/>
                <w:szCs w:val="21"/>
              </w:rPr>
            </w:pPr>
            <w:r>
              <w:rPr>
                <w:rFonts w:hint="eastAsia" w:eastAsia="黑体"/>
                <w:bCs/>
                <w:szCs w:val="21"/>
              </w:rPr>
              <w:t>8、选址合理性分析</w:t>
            </w:r>
          </w:p>
          <w:p>
            <w:pPr>
              <w:autoSpaceDE w:val="0"/>
              <w:autoSpaceDN w:val="0"/>
              <w:adjustRightInd w:val="0"/>
              <w:snapToGrid w:val="0"/>
              <w:spacing w:line="400" w:lineRule="exact"/>
              <w:ind w:firstLine="420" w:firstLineChars="200"/>
              <w:jc w:val="left"/>
              <w:rPr>
                <w:bCs/>
                <w:szCs w:val="21"/>
              </w:rPr>
            </w:pPr>
            <w:r>
              <w:rPr>
                <w:rFonts w:hint="eastAsia"/>
                <w:bCs/>
                <w:szCs w:val="21"/>
              </w:rPr>
              <w:t>本项目位于达州市通川区东岳镇飞井村七组，项目在洁泰洗涤厂现有厂区范围内建设，不增加占地。本次评价的锅炉房占地面积约20m</w:t>
            </w:r>
            <w:r>
              <w:rPr>
                <w:rFonts w:hint="eastAsia"/>
                <w:bCs/>
                <w:szCs w:val="21"/>
                <w:vertAlign w:val="superscript"/>
              </w:rPr>
              <w:t>2</w:t>
            </w:r>
            <w:r>
              <w:rPr>
                <w:rFonts w:hint="eastAsia"/>
                <w:bCs/>
                <w:szCs w:val="21"/>
              </w:rPr>
              <w:t>，位于洗涤车间东北面，紧邻洗涤车间。其选址合理性在于：</w:t>
            </w:r>
            <w:r>
              <w:rPr>
                <w:bCs/>
                <w:szCs w:val="21"/>
              </w:rPr>
              <w:t xml:space="preserve"> </w:t>
            </w:r>
          </w:p>
          <w:p>
            <w:pPr>
              <w:autoSpaceDE w:val="0"/>
              <w:autoSpaceDN w:val="0"/>
              <w:adjustRightInd w:val="0"/>
              <w:snapToGrid w:val="0"/>
              <w:spacing w:line="400" w:lineRule="exact"/>
              <w:ind w:firstLine="420" w:firstLineChars="200"/>
              <w:jc w:val="left"/>
              <w:rPr>
                <w:bCs/>
                <w:szCs w:val="21"/>
              </w:rPr>
            </w:pPr>
            <w:r>
              <w:rPr>
                <w:rFonts w:hint="eastAsia"/>
                <w:bCs/>
                <w:szCs w:val="21"/>
              </w:rPr>
              <w:t>（1）查阅相关资料，项目用地区域及评价范围内不涉及自然保护区、风景名胜区等，也不属于生态保护红线范围，永久基本农田范围等依法设立的各级各类保护区域。</w:t>
            </w:r>
          </w:p>
          <w:p>
            <w:pPr>
              <w:autoSpaceDE w:val="0"/>
              <w:autoSpaceDN w:val="0"/>
              <w:adjustRightInd w:val="0"/>
              <w:snapToGrid w:val="0"/>
              <w:spacing w:line="400" w:lineRule="exact"/>
              <w:ind w:firstLine="420" w:firstLineChars="200"/>
              <w:jc w:val="left"/>
              <w:rPr>
                <w:bCs/>
                <w:szCs w:val="21"/>
              </w:rPr>
            </w:pPr>
            <w:r>
              <w:rPr>
                <w:rFonts w:hint="eastAsia"/>
                <w:bCs/>
                <w:szCs w:val="21"/>
              </w:rPr>
              <w:t>（2）项目新增备用锅炉位于洁泰洗涤厂区范围内，不涉及新增占地。</w:t>
            </w:r>
          </w:p>
          <w:p>
            <w:pPr>
              <w:autoSpaceDE w:val="0"/>
              <w:autoSpaceDN w:val="0"/>
              <w:adjustRightInd w:val="0"/>
              <w:snapToGrid w:val="0"/>
              <w:spacing w:line="400" w:lineRule="exact"/>
              <w:ind w:firstLine="420" w:firstLineChars="200"/>
              <w:jc w:val="left"/>
              <w:rPr>
                <w:bCs/>
                <w:szCs w:val="21"/>
              </w:rPr>
            </w:pPr>
            <w:r>
              <w:rPr>
                <w:rFonts w:hint="eastAsia"/>
                <w:bCs/>
                <w:szCs w:val="21"/>
              </w:rPr>
              <w:t>（3）本项目位于通川区东岳镇飞井村七组，周边为达州市通川区东岳新型工业集聚区规划范围，周边主要是火电厂、门窗生产企业、石材加工厂等，无食品医药等敏感企业存在，项目与周边企业是相容的。</w:t>
            </w:r>
          </w:p>
          <w:p>
            <w:pPr>
              <w:autoSpaceDE w:val="0"/>
              <w:autoSpaceDN w:val="0"/>
              <w:adjustRightInd w:val="0"/>
              <w:snapToGrid w:val="0"/>
              <w:spacing w:line="400" w:lineRule="exact"/>
              <w:ind w:firstLine="420" w:firstLineChars="200"/>
              <w:jc w:val="left"/>
              <w:rPr>
                <w:bCs/>
                <w:szCs w:val="21"/>
              </w:rPr>
            </w:pPr>
            <w:r>
              <w:rPr>
                <w:rFonts w:hint="eastAsia"/>
                <w:bCs/>
                <w:szCs w:val="21"/>
              </w:rPr>
              <w:t>（4）本项目洗涤车间营运时需使用热蒸汽，项目靠近东岳电厂热蒸汽来源可靠。同时新增备用燃气锅炉，可有效解决东岳电厂热蒸汽停供时对项目洗涤作业的影响。</w:t>
            </w:r>
          </w:p>
          <w:p>
            <w:pPr>
              <w:autoSpaceDE w:val="0"/>
              <w:autoSpaceDN w:val="0"/>
              <w:adjustRightInd w:val="0"/>
              <w:snapToGrid w:val="0"/>
              <w:spacing w:line="400" w:lineRule="exact"/>
              <w:ind w:firstLine="420" w:firstLineChars="200"/>
              <w:jc w:val="left"/>
              <w:rPr>
                <w:bCs/>
                <w:szCs w:val="21"/>
              </w:rPr>
            </w:pPr>
            <w:r>
              <w:rPr>
                <w:rFonts w:hint="eastAsia"/>
                <w:bCs/>
                <w:szCs w:val="21"/>
              </w:rPr>
              <w:t>（5）项目区环境空气质量区划为二类区，执行《环境空气质量标准》（GB3095-2012）的二级标准；项目周边地表水体为双龙河，双龙河水质执行《地表水环境质量标准》（GB3838-2002）Ⅲ类水域标准。声环境功能执行《声环境质量标准》（GB3096-2008）中2类区标准。本项目环境质量现状调查表明，项目区域环境空气为达标区，声环境、地表水环境质量现状均能满足其功能区要求。项目燃气锅炉采用天然气清洁燃料，废气污染物排放量较小，不会对周围环境空气造成污染影响；纯水制备废水利用洗涤废水处理设施处理后，达标排入东岳场镇污水管网，最终进入东岳场镇污水处理厂处理后达标排放，对区域环境影响较小，不会改变区域环境功能类别，与区域环境相容。</w:t>
            </w:r>
          </w:p>
          <w:p>
            <w:pPr>
              <w:autoSpaceDE w:val="0"/>
              <w:autoSpaceDN w:val="0"/>
              <w:adjustRightInd w:val="0"/>
              <w:snapToGrid w:val="0"/>
              <w:spacing w:line="400" w:lineRule="exact"/>
              <w:ind w:firstLine="420" w:firstLineChars="200"/>
              <w:jc w:val="left"/>
              <w:rPr>
                <w:bCs/>
                <w:szCs w:val="21"/>
              </w:rPr>
            </w:pPr>
            <w:r>
              <w:rPr>
                <w:rFonts w:hint="eastAsia"/>
                <w:bCs/>
                <w:szCs w:val="21"/>
              </w:rPr>
              <w:t>综上分析，评价认为本项目选址较为合理。</w:t>
            </w:r>
          </w:p>
          <w:p>
            <w:pPr>
              <w:pStyle w:val="15"/>
              <w:spacing w:after="0" w:line="100" w:lineRule="exact"/>
            </w:pPr>
          </w:p>
          <w:p>
            <w:pPr>
              <w:pStyle w:val="15"/>
              <w:keepNext/>
              <w:spacing w:after="0" w:line="100" w:lineRule="exac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0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189" w:hRule="atLeast"/>
          <w:jc w:val="center"/>
        </w:trPr>
        <w:tc>
          <w:tcPr>
            <w:tcW w:w="718" w:type="dxa"/>
            <w:tcBorders>
              <w:top w:val="single" w:color="auto" w:sz="8" w:space="0"/>
              <w:left w:val="single" w:color="auto" w:sz="8" w:space="0"/>
              <w:bottom w:val="single" w:color="auto" w:sz="4" w:space="0"/>
              <w:right w:val="single" w:color="auto" w:sz="4" w:space="0"/>
            </w:tcBorders>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建设内容</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tc>
        <w:tc>
          <w:tcPr>
            <w:tcW w:w="8089"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szCs w:val="21"/>
              </w:rPr>
            </w:pPr>
            <w:r>
              <w:rPr>
                <w:rFonts w:hint="eastAsia" w:eastAsia="黑体"/>
                <w:bCs/>
                <w:szCs w:val="21"/>
              </w:rPr>
              <w:t>1</w:t>
            </w:r>
            <w:r>
              <w:rPr>
                <w:rFonts w:eastAsia="黑体"/>
                <w:bCs/>
                <w:szCs w:val="21"/>
              </w:rPr>
              <w:t>、项目由来</w:t>
            </w:r>
          </w:p>
          <w:p>
            <w:pPr>
              <w:autoSpaceDE w:val="0"/>
              <w:autoSpaceDN w:val="0"/>
              <w:adjustRightInd w:val="0"/>
              <w:snapToGrid w:val="0"/>
              <w:spacing w:line="400" w:lineRule="exact"/>
              <w:ind w:firstLine="420" w:firstLineChars="200"/>
              <w:jc w:val="left"/>
              <w:rPr>
                <w:rFonts w:ascii="宋体" w:hAnsi="宋体"/>
                <w:kern w:val="0"/>
              </w:rPr>
            </w:pPr>
            <w:r>
              <w:rPr>
                <w:rFonts w:hint="eastAsia" w:ascii="宋体" w:hAnsi="宋体"/>
                <w:kern w:val="0"/>
              </w:rPr>
              <w:t>达州市通川区洁泰洗涤厂（以下简称“洁泰洗涤厂”）成立于2022年4月12日，主营洗染服务、家政服务，属于服务型企业。洁泰洗涤厂于2022年4月，选址于通川区东岳镇飞井村七组，投资建成了洁泰洗涤厂，主要为达州市范围的酒店等经营场所提供被服洗涤服务，不涉及医用被服洗涤服务。</w:t>
            </w:r>
          </w:p>
          <w:p>
            <w:pPr>
              <w:autoSpaceDE w:val="0"/>
              <w:autoSpaceDN w:val="0"/>
              <w:adjustRightInd w:val="0"/>
              <w:snapToGrid w:val="0"/>
              <w:spacing w:line="400" w:lineRule="exact"/>
              <w:ind w:firstLine="420" w:firstLineChars="200"/>
              <w:jc w:val="left"/>
              <w:rPr>
                <w:rFonts w:ascii="宋体" w:hAnsi="宋体"/>
                <w:kern w:val="0"/>
              </w:rPr>
            </w:pPr>
            <w:r>
              <w:rPr>
                <w:rFonts w:hint="eastAsia" w:ascii="宋体" w:hAnsi="宋体"/>
                <w:kern w:val="0"/>
              </w:rPr>
              <w:t>根据调查，洁泰洗涤厂被服洗涤工序所用蒸汽，一直由东岳电厂协议供应，年使用蒸汽量约3300m</w:t>
            </w:r>
            <w:r>
              <w:rPr>
                <w:rFonts w:hint="eastAsia" w:ascii="宋体" w:hAnsi="宋体"/>
                <w:kern w:val="0"/>
                <w:vertAlign w:val="superscript"/>
              </w:rPr>
              <w:t>3</w:t>
            </w:r>
            <w:r>
              <w:rPr>
                <w:rFonts w:hint="eastAsia" w:ascii="宋体" w:hAnsi="宋体"/>
                <w:kern w:val="0"/>
              </w:rPr>
              <w:t>/a。由于东岳工业园区众多企业均依赖于东岳电厂供给蒸汽，因东岳电厂生产负荷不够造成蒸汽供应量不足的情况时有发生；加之东岳电厂定期检修期间，将有长达2~3个月的蒸汽断供期，严重制约了洁泰洗涤厂的发展。</w:t>
            </w:r>
          </w:p>
          <w:p>
            <w:pPr>
              <w:autoSpaceDE w:val="0"/>
              <w:autoSpaceDN w:val="0"/>
              <w:adjustRightInd w:val="0"/>
              <w:snapToGrid w:val="0"/>
              <w:spacing w:line="400" w:lineRule="exact"/>
              <w:ind w:firstLine="420" w:firstLineChars="200"/>
              <w:jc w:val="left"/>
              <w:rPr>
                <w:kern w:val="0"/>
                <w:szCs w:val="21"/>
              </w:rPr>
            </w:pPr>
            <w:r>
              <w:rPr>
                <w:rFonts w:hint="eastAsia" w:ascii="宋体" w:hAnsi="宋体"/>
                <w:kern w:val="0"/>
              </w:rPr>
              <w:t>为保证洗涤厂用汽需要，达州市通川区洁泰洗涤厂拟投资50万元，利用洗涤车间旁闲置场地新建1个锅炉房，拟建设1台2吨/小时天然气燃气锅炉，作为洗涤车间的备用蒸汽源。在东岳电厂供汽量充足的时期，洁泰洗涤厂仍使用东岳电厂供应的蒸汽，在东岳电厂供汽量不足的时期，使用自建的锅炉供汽，以确保公司的正常营运。</w:t>
            </w:r>
            <w:r>
              <w:rPr>
                <w:rFonts w:hint="eastAsia"/>
                <w:kern w:val="0"/>
                <w:szCs w:val="21"/>
              </w:rPr>
              <w:t>项</w:t>
            </w:r>
            <w:r>
              <w:rPr>
                <w:rFonts w:hint="eastAsia"/>
                <w:b/>
                <w:kern w:val="0"/>
                <w:szCs w:val="21"/>
              </w:rPr>
              <w:t>目建成后，</w:t>
            </w:r>
            <w:r>
              <w:rPr>
                <w:b/>
                <w:kern w:val="0"/>
                <w:szCs w:val="21"/>
              </w:rPr>
              <w:t>天然气锅炉仅作为本厂区的备用锅炉。</w:t>
            </w:r>
          </w:p>
          <w:p>
            <w:pPr>
              <w:adjustRightInd w:val="0"/>
              <w:snapToGrid w:val="0"/>
              <w:spacing w:line="400" w:lineRule="exact"/>
              <w:ind w:firstLine="420" w:firstLineChars="200"/>
              <w:jc w:val="left"/>
              <w:rPr>
                <w:kern w:val="0"/>
                <w:szCs w:val="21"/>
              </w:rPr>
            </w:pPr>
            <w:r>
              <w:rPr>
                <w:rFonts w:hint="eastAsia"/>
                <w:kern w:val="0"/>
                <w:szCs w:val="21"/>
              </w:rPr>
              <w:t>根据《建设项目环境影响评价分类管理名录（2021年版）》，该项目属于其中“四十一、电力、热力生产和供应业”中“91 热力生产和供应工程（包括建设单位自建自用的供热工程）”类别；项目拟建天然气锅炉为2吨/小时，其环评类别为编制环境影响报告表。</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2</w:t>
            </w:r>
            <w:r>
              <w:rPr>
                <w:rFonts w:eastAsia="黑体"/>
                <w:bCs/>
                <w:szCs w:val="21"/>
              </w:rPr>
              <w:t>、建设内容</w:t>
            </w:r>
          </w:p>
          <w:p>
            <w:pPr>
              <w:autoSpaceDE w:val="0"/>
              <w:autoSpaceDN w:val="0"/>
              <w:adjustRightInd w:val="0"/>
              <w:snapToGrid w:val="0"/>
              <w:spacing w:line="400" w:lineRule="exact"/>
              <w:ind w:firstLine="420" w:firstLineChars="200"/>
              <w:rPr>
                <w:szCs w:val="28"/>
              </w:rPr>
            </w:pPr>
            <w:r>
              <w:rPr>
                <w:rFonts w:hint="eastAsia"/>
                <w:szCs w:val="28"/>
              </w:rPr>
              <w:t>本项目在洁泰洗涤厂厂区范围内建设，主要建设1台2t/h的燃气蒸汽锅炉及其配套的纯水设备、给水系统、送风系统等辅助设施，新建燃烧废气排气筒等环保工程等。</w:t>
            </w:r>
          </w:p>
          <w:p>
            <w:pPr>
              <w:autoSpaceDE w:val="0"/>
              <w:autoSpaceDN w:val="0"/>
              <w:adjustRightInd w:val="0"/>
              <w:snapToGrid w:val="0"/>
              <w:spacing w:line="400" w:lineRule="exact"/>
              <w:ind w:firstLine="420" w:firstLineChars="200"/>
              <w:rPr>
                <w:szCs w:val="28"/>
              </w:rPr>
            </w:pPr>
            <w:r>
              <w:rPr>
                <w:rFonts w:hint="eastAsia"/>
                <w:szCs w:val="28"/>
              </w:rPr>
              <w:t>项目建成后不增加生产能力，原有的生产、生活、办公等设施均不发生变化。本项目不增加职工，其供水、供电等设施均依托现有工程。</w:t>
            </w:r>
          </w:p>
          <w:p>
            <w:pPr>
              <w:autoSpaceDE w:val="0"/>
              <w:autoSpaceDN w:val="0"/>
              <w:adjustRightInd w:val="0"/>
              <w:snapToGrid w:val="0"/>
              <w:spacing w:line="400" w:lineRule="exact"/>
              <w:ind w:firstLine="420" w:firstLineChars="200"/>
              <w:rPr>
                <w:szCs w:val="28"/>
              </w:rPr>
            </w:pPr>
            <w:r>
              <w:rPr>
                <w:rFonts w:hint="eastAsia"/>
                <w:szCs w:val="28"/>
              </w:rPr>
              <w:t>项目组成和可能产生的环境问题见下表。</w:t>
            </w:r>
          </w:p>
          <w:p>
            <w:pPr>
              <w:autoSpaceDE w:val="0"/>
              <w:autoSpaceDN w:val="0"/>
              <w:adjustRightInd w:val="0"/>
              <w:snapToGrid w:val="0"/>
              <w:spacing w:line="400" w:lineRule="exact"/>
              <w:ind w:firstLine="360" w:firstLineChars="200"/>
              <w:jc w:val="center"/>
              <w:rPr>
                <w:rFonts w:eastAsia="黑体"/>
                <w:bCs/>
                <w:sz w:val="18"/>
                <w:szCs w:val="18"/>
              </w:rPr>
            </w:pPr>
            <w:r>
              <w:rPr>
                <w:rFonts w:eastAsia="黑体"/>
                <w:bCs/>
                <w:sz w:val="18"/>
                <w:szCs w:val="18"/>
              </w:rPr>
              <w:t>表</w:t>
            </w:r>
            <w:r>
              <w:rPr>
                <w:rFonts w:hint="eastAsia" w:eastAsia="黑体"/>
                <w:bCs/>
                <w:sz w:val="18"/>
                <w:szCs w:val="18"/>
              </w:rPr>
              <w:t xml:space="preserve">2-1 </w:t>
            </w:r>
            <w:r>
              <w:rPr>
                <w:rFonts w:eastAsia="黑体"/>
                <w:bCs/>
                <w:sz w:val="18"/>
                <w:szCs w:val="18"/>
              </w:rPr>
              <w:t xml:space="preserve">  项目组成及可能产生的主要环境问题</w:t>
            </w:r>
          </w:p>
          <w:tbl>
            <w:tblPr>
              <w:tblStyle w:val="21"/>
              <w:tblW w:w="7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507"/>
              <w:gridCol w:w="4852"/>
              <w:gridCol w:w="643"/>
              <w:gridCol w:w="752"/>
              <w:gridCol w:w="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名称</w:t>
                  </w:r>
                </w:p>
              </w:tc>
              <w:tc>
                <w:tcPr>
                  <w:tcW w:w="5359"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建设内容及规模</w:t>
                  </w:r>
                </w:p>
              </w:tc>
              <w:tc>
                <w:tcPr>
                  <w:tcW w:w="1395"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主要环境问题</w:t>
                  </w:r>
                </w:p>
              </w:tc>
              <w:tc>
                <w:tcPr>
                  <w:tcW w:w="48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ascii="宋体" w:hAnsi="宋体"/>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18"/>
                      <w:szCs w:val="18"/>
                    </w:rPr>
                  </w:pPr>
                </w:p>
              </w:tc>
              <w:tc>
                <w:tcPr>
                  <w:tcW w:w="1021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施工期</w:t>
                  </w:r>
                </w:p>
              </w:tc>
              <w:tc>
                <w:tcPr>
                  <w:tcW w:w="75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营运期</w:t>
                  </w:r>
                </w:p>
              </w:tc>
              <w:tc>
                <w:tcPr>
                  <w:tcW w:w="48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主体</w:t>
                  </w:r>
                </w:p>
                <w:p>
                  <w:pPr>
                    <w:spacing w:line="280" w:lineRule="exact"/>
                    <w:ind w:left="-71" w:leftChars="-34" w:right="-71" w:rightChars="-34"/>
                    <w:jc w:val="center"/>
                    <w:rPr>
                      <w:sz w:val="18"/>
                      <w:szCs w:val="18"/>
                    </w:rPr>
                  </w:pPr>
                  <w:r>
                    <w:rPr>
                      <w:rFonts w:ascii="宋体" w:hAnsi="宋体"/>
                      <w:sz w:val="18"/>
                      <w:szCs w:val="18"/>
                    </w:rPr>
                    <w:t>工程</w:t>
                  </w: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kern w:val="0"/>
                      <w:sz w:val="18"/>
                      <w:szCs w:val="18"/>
                      <w:vertAlign w:val="superscript"/>
                    </w:rPr>
                  </w:pPr>
                  <w:r>
                    <w:rPr>
                      <w:rFonts w:hint="eastAsia" w:ascii="宋体" w:hAnsi="宋体"/>
                      <w:kern w:val="0"/>
                      <w:sz w:val="18"/>
                      <w:szCs w:val="18"/>
                    </w:rPr>
                    <w:t>新建锅炉房</w:t>
                  </w:r>
                  <w:r>
                    <w:rPr>
                      <w:rFonts w:hint="eastAsia"/>
                      <w:kern w:val="0"/>
                      <w:sz w:val="18"/>
                      <w:szCs w:val="18"/>
                    </w:rPr>
                    <w:t>1</w:t>
                  </w:r>
                  <w:r>
                    <w:rPr>
                      <w:rFonts w:hint="eastAsia" w:ascii="宋体" w:hAnsi="宋体"/>
                      <w:kern w:val="0"/>
                      <w:sz w:val="18"/>
                      <w:szCs w:val="18"/>
                    </w:rPr>
                    <w:t>座，占地约</w:t>
                  </w:r>
                  <w:r>
                    <w:rPr>
                      <w:rFonts w:hint="eastAsia"/>
                      <w:kern w:val="0"/>
                      <w:sz w:val="18"/>
                      <w:szCs w:val="18"/>
                    </w:rPr>
                    <w:t>20</w:t>
                  </w:r>
                  <w:r>
                    <w:rPr>
                      <w:kern w:val="0"/>
                      <w:sz w:val="18"/>
                      <w:szCs w:val="18"/>
                    </w:rPr>
                    <w:t>m</w:t>
                  </w:r>
                  <w:r>
                    <w:rPr>
                      <w:kern w:val="0"/>
                      <w:sz w:val="18"/>
                      <w:szCs w:val="18"/>
                      <w:vertAlign w:val="superscript"/>
                    </w:rPr>
                    <w:t>2</w:t>
                  </w:r>
                  <w:r>
                    <w:rPr>
                      <w:rFonts w:ascii="宋体" w:hAnsi="宋体"/>
                      <w:kern w:val="0"/>
                      <w:sz w:val="18"/>
                      <w:szCs w:val="18"/>
                    </w:rPr>
                    <w:t>，建筑高度</w:t>
                  </w:r>
                  <w:r>
                    <w:rPr>
                      <w:rFonts w:hint="eastAsia"/>
                      <w:kern w:val="0"/>
                      <w:sz w:val="18"/>
                      <w:szCs w:val="18"/>
                    </w:rPr>
                    <w:t>8.0</w:t>
                  </w:r>
                  <w:r>
                    <w:rPr>
                      <w:kern w:val="0"/>
                      <w:sz w:val="18"/>
                      <w:szCs w:val="18"/>
                    </w:rPr>
                    <w:t>m</w:t>
                  </w:r>
                  <w:r>
                    <w:rPr>
                      <w:rFonts w:ascii="宋体" w:hAnsi="宋体"/>
                      <w:kern w:val="0"/>
                      <w:sz w:val="18"/>
                      <w:szCs w:val="18"/>
                    </w:rPr>
                    <w:t>，</w:t>
                  </w:r>
                  <w:r>
                    <w:rPr>
                      <w:rFonts w:hint="eastAsia" w:ascii="宋体" w:hAnsi="宋体"/>
                      <w:kern w:val="0"/>
                      <w:sz w:val="18"/>
                      <w:szCs w:val="18"/>
                    </w:rPr>
                    <w:t>安装</w:t>
                  </w:r>
                  <w:r>
                    <w:rPr>
                      <w:rFonts w:hint="eastAsia"/>
                      <w:kern w:val="0"/>
                      <w:sz w:val="18"/>
                      <w:szCs w:val="18"/>
                    </w:rPr>
                    <w:t>2t/h</w:t>
                  </w:r>
                  <w:r>
                    <w:rPr>
                      <w:rFonts w:hint="eastAsia" w:ascii="宋体" w:hAnsi="宋体"/>
                      <w:kern w:val="0"/>
                      <w:sz w:val="18"/>
                      <w:szCs w:val="18"/>
                    </w:rPr>
                    <w:t>的天然气锅炉</w:t>
                  </w:r>
                  <w:r>
                    <w:rPr>
                      <w:rFonts w:hint="eastAsia"/>
                      <w:kern w:val="0"/>
                      <w:sz w:val="18"/>
                      <w:szCs w:val="18"/>
                    </w:rPr>
                    <w:t>1</w:t>
                  </w:r>
                  <w:r>
                    <w:rPr>
                      <w:rFonts w:hint="eastAsia" w:ascii="宋体" w:hAnsi="宋体"/>
                      <w:kern w:val="0"/>
                      <w:sz w:val="18"/>
                      <w:szCs w:val="18"/>
                    </w:rPr>
                    <w:t>台，型号为</w:t>
                  </w:r>
                  <w:r>
                    <w:rPr>
                      <w:rFonts w:hint="eastAsia"/>
                      <w:kern w:val="0"/>
                      <w:sz w:val="18"/>
                      <w:szCs w:val="18"/>
                    </w:rPr>
                    <w:t>LSS2.0-1.0-Q</w:t>
                  </w:r>
                  <w:r>
                    <w:rPr>
                      <w:rFonts w:hint="eastAsia" w:ascii="宋体" w:hAnsi="宋体"/>
                      <w:kern w:val="0"/>
                      <w:sz w:val="18"/>
                      <w:szCs w:val="18"/>
                    </w:rPr>
                    <w:t>，配套安装型号为</w:t>
                  </w:r>
                  <w:r>
                    <w:rPr>
                      <w:rFonts w:hint="eastAsia"/>
                      <w:kern w:val="0"/>
                      <w:sz w:val="18"/>
                      <w:szCs w:val="18"/>
                    </w:rPr>
                    <w:t>ZB-7W+FGR</w:t>
                  </w:r>
                  <w:r>
                    <w:rPr>
                      <w:rFonts w:hint="eastAsia" w:ascii="宋体" w:hAnsi="宋体"/>
                      <w:kern w:val="0"/>
                      <w:sz w:val="18"/>
                      <w:szCs w:val="18"/>
                    </w:rPr>
                    <w:t>的低氮燃烧器，为厂区生产车间供应蒸汽，天然气使用管道气</w:t>
                  </w:r>
                </w:p>
              </w:tc>
              <w:tc>
                <w:tcPr>
                  <w:tcW w:w="643" w:type="dxa"/>
                  <w:vMerge w:val="restart"/>
                  <w:tcBorders>
                    <w:top w:val="nil"/>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废水、废气、扬尘、固废、噪声、水土流失等</w:t>
                  </w: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噪声、</w:t>
                  </w:r>
                  <w:r>
                    <w:rPr>
                      <w:rFonts w:hint="eastAsia" w:ascii="宋体" w:hAnsi="宋体"/>
                      <w:sz w:val="18"/>
                      <w:szCs w:val="18"/>
                    </w:rPr>
                    <w:t>废气、废水</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684" w:type="dxa"/>
                  <w:vMerge w:val="restart"/>
                  <w:tcBorders>
                    <w:top w:val="nil"/>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辅助</w:t>
                  </w:r>
                </w:p>
                <w:p>
                  <w:pPr>
                    <w:spacing w:line="280" w:lineRule="exact"/>
                    <w:ind w:left="-71" w:leftChars="-34" w:right="-71" w:rightChars="-34"/>
                    <w:jc w:val="center"/>
                    <w:rPr>
                      <w:sz w:val="18"/>
                      <w:szCs w:val="18"/>
                    </w:rPr>
                  </w:pPr>
                  <w:r>
                    <w:rPr>
                      <w:rFonts w:ascii="宋体" w:hAnsi="宋体"/>
                      <w:sz w:val="18"/>
                      <w:szCs w:val="18"/>
                    </w:rPr>
                    <w:t>工程</w:t>
                  </w: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b/>
                      <w:bCs/>
                      <w:kern w:val="0"/>
                      <w:sz w:val="18"/>
                      <w:szCs w:val="18"/>
                    </w:rPr>
                  </w:pPr>
                  <w:r>
                    <w:rPr>
                      <w:rFonts w:hint="eastAsia" w:ascii="宋体" w:hAnsi="宋体"/>
                      <w:kern w:val="0"/>
                      <w:sz w:val="18"/>
                      <w:szCs w:val="18"/>
                    </w:rPr>
                    <w:t>锅炉给水：配套建设</w:t>
                  </w:r>
                  <w:r>
                    <w:rPr>
                      <w:rFonts w:hint="eastAsia"/>
                      <w:kern w:val="0"/>
                      <w:sz w:val="18"/>
                      <w:szCs w:val="18"/>
                    </w:rPr>
                    <w:t>1</w:t>
                  </w:r>
                  <w:r>
                    <w:rPr>
                      <w:rFonts w:hint="eastAsia" w:ascii="宋体" w:hAnsi="宋体"/>
                      <w:kern w:val="0"/>
                      <w:sz w:val="18"/>
                      <w:szCs w:val="18"/>
                    </w:rPr>
                    <w:t>套软水制备系统，采用“离子交换树脂”工艺，为一体化设备，标准处理水量</w:t>
                  </w:r>
                  <w:r>
                    <w:rPr>
                      <w:rFonts w:hint="eastAsia"/>
                      <w:kern w:val="0"/>
                      <w:sz w:val="18"/>
                      <w:szCs w:val="18"/>
                    </w:rPr>
                    <w:t>2.5m</w:t>
                  </w:r>
                  <w:r>
                    <w:rPr>
                      <w:rFonts w:hint="eastAsia"/>
                      <w:kern w:val="0"/>
                      <w:sz w:val="18"/>
                      <w:szCs w:val="18"/>
                      <w:vertAlign w:val="superscript"/>
                    </w:rPr>
                    <w:t>3</w:t>
                  </w:r>
                  <w:r>
                    <w:rPr>
                      <w:rFonts w:hint="eastAsia"/>
                      <w:kern w:val="0"/>
                      <w:sz w:val="18"/>
                      <w:szCs w:val="18"/>
                    </w:rPr>
                    <w:t>/h</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固废、废水、噪声</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kern w:val="0"/>
                      <w:sz w:val="18"/>
                      <w:szCs w:val="18"/>
                    </w:rPr>
                  </w:pPr>
                  <w:r>
                    <w:rPr>
                      <w:rFonts w:hint="eastAsia" w:ascii="宋体" w:hAnsi="宋体"/>
                      <w:kern w:val="0"/>
                      <w:sz w:val="18"/>
                      <w:szCs w:val="18"/>
                    </w:rPr>
                    <w:t>燃气供应：公司厂区内已有燃气管网接入，气源为达州华润燃气有限公司，为管道供应，本次扩建锅炉直接从公司已有管网供气，设计日供气量</w:t>
                  </w:r>
                  <w:r>
                    <w:rPr>
                      <w:rFonts w:hint="eastAsia"/>
                      <w:kern w:val="0"/>
                      <w:sz w:val="18"/>
                      <w:szCs w:val="18"/>
                    </w:rPr>
                    <w:t>2000m</w:t>
                  </w:r>
                  <w:r>
                    <w:rPr>
                      <w:rFonts w:hint="eastAsia"/>
                      <w:kern w:val="0"/>
                      <w:sz w:val="18"/>
                      <w:szCs w:val="18"/>
                      <w:vertAlign w:val="superscript"/>
                    </w:rPr>
                    <w:t>3</w:t>
                  </w:r>
                  <w:r>
                    <w:rPr>
                      <w:rFonts w:hint="eastAsia"/>
                      <w:kern w:val="0"/>
                      <w:sz w:val="18"/>
                      <w:szCs w:val="18"/>
                    </w:rPr>
                    <w:t>/d</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kern w:val="0"/>
                      <w:sz w:val="18"/>
                      <w:szCs w:val="18"/>
                    </w:rPr>
                  </w:pPr>
                  <w:r>
                    <w:rPr>
                      <w:rFonts w:hint="eastAsia" w:ascii="宋体" w:hAnsi="宋体"/>
                      <w:kern w:val="0"/>
                      <w:sz w:val="18"/>
                      <w:szCs w:val="18"/>
                    </w:rPr>
                    <w:t>蒸汽管网：接入公司厂区内现有蒸汽管网，通过蒸汽管网供入各用汽点，本次不新增蒸汽管网</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84" w:type="dxa"/>
                  <w:vMerge w:val="restart"/>
                  <w:tcBorders>
                    <w:top w:val="nil"/>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公用</w:t>
                  </w:r>
                </w:p>
                <w:p>
                  <w:pPr>
                    <w:spacing w:line="280" w:lineRule="exact"/>
                    <w:ind w:left="-71" w:leftChars="-34" w:right="-71" w:rightChars="-34"/>
                    <w:jc w:val="center"/>
                    <w:rPr>
                      <w:sz w:val="18"/>
                      <w:szCs w:val="18"/>
                    </w:rPr>
                  </w:pPr>
                  <w:r>
                    <w:rPr>
                      <w:rFonts w:ascii="宋体" w:hAnsi="宋体"/>
                      <w:sz w:val="18"/>
                      <w:szCs w:val="18"/>
                    </w:rPr>
                    <w:t>工程</w:t>
                  </w: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bCs/>
                      <w:kern w:val="0"/>
                      <w:sz w:val="18"/>
                      <w:szCs w:val="18"/>
                    </w:rPr>
                  </w:pPr>
                  <w:r>
                    <w:rPr>
                      <w:rFonts w:ascii="宋体" w:hAnsi="宋体"/>
                      <w:sz w:val="18"/>
                      <w:szCs w:val="18"/>
                    </w:rPr>
                    <w:t>供水：</w:t>
                  </w:r>
                  <w:r>
                    <w:rPr>
                      <w:rFonts w:hint="eastAsia" w:ascii="宋体" w:hAnsi="宋体"/>
                      <w:sz w:val="18"/>
                      <w:szCs w:val="18"/>
                    </w:rPr>
                    <w:t>水源</w:t>
                  </w:r>
                  <w:r>
                    <w:rPr>
                      <w:rFonts w:ascii="宋体" w:hAnsi="宋体"/>
                      <w:sz w:val="18"/>
                      <w:szCs w:val="18"/>
                    </w:rPr>
                    <w:t>来自东岳场镇供水管网，</w:t>
                  </w:r>
                  <w:r>
                    <w:rPr>
                      <w:rFonts w:hint="eastAsia" w:ascii="宋体" w:hAnsi="宋体"/>
                      <w:sz w:val="18"/>
                      <w:szCs w:val="18"/>
                    </w:rPr>
                    <w:t>依托公司已建的</w:t>
                  </w:r>
                  <w:r>
                    <w:rPr>
                      <w:rFonts w:ascii="宋体" w:hAnsi="宋体"/>
                      <w:sz w:val="18"/>
                      <w:szCs w:val="18"/>
                    </w:rPr>
                    <w:t>给水管网</w:t>
                  </w:r>
                  <w:r>
                    <w:rPr>
                      <w:rFonts w:hint="eastAsia" w:ascii="宋体" w:hAnsi="宋体"/>
                      <w:sz w:val="18"/>
                      <w:szCs w:val="18"/>
                    </w:rPr>
                    <w:t>供水</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bCs/>
                      <w:kern w:val="0"/>
                      <w:sz w:val="18"/>
                      <w:szCs w:val="18"/>
                    </w:rPr>
                  </w:pPr>
                  <w:r>
                    <w:rPr>
                      <w:rFonts w:ascii="宋体" w:hAnsi="宋体"/>
                      <w:bCs/>
                      <w:spacing w:val="-4"/>
                      <w:sz w:val="18"/>
                      <w:szCs w:val="18"/>
                    </w:rPr>
                    <w:t>供电：电源为东岳电网，</w:t>
                  </w:r>
                  <w:r>
                    <w:rPr>
                      <w:rFonts w:hint="eastAsia" w:ascii="宋体" w:hAnsi="宋体"/>
                      <w:bCs/>
                      <w:spacing w:val="-4"/>
                      <w:sz w:val="18"/>
                      <w:szCs w:val="18"/>
                    </w:rPr>
                    <w:t>依托场内已有的</w:t>
                  </w:r>
                  <w:r>
                    <w:rPr>
                      <w:bCs/>
                      <w:spacing w:val="-4"/>
                      <w:sz w:val="18"/>
                      <w:szCs w:val="18"/>
                    </w:rPr>
                    <w:t>1</w:t>
                  </w:r>
                  <w:r>
                    <w:rPr>
                      <w:rFonts w:ascii="宋体" w:hAnsi="宋体"/>
                      <w:bCs/>
                      <w:spacing w:val="-4"/>
                      <w:sz w:val="18"/>
                      <w:szCs w:val="18"/>
                    </w:rPr>
                    <w:t>台</w:t>
                  </w:r>
                  <w:r>
                    <w:rPr>
                      <w:rFonts w:hint="eastAsia"/>
                      <w:bCs/>
                      <w:spacing w:val="-4"/>
                      <w:sz w:val="18"/>
                      <w:szCs w:val="18"/>
                    </w:rPr>
                    <w:t>250KVA</w:t>
                  </w:r>
                  <w:r>
                    <w:rPr>
                      <w:rFonts w:hint="eastAsia" w:ascii="宋体" w:hAnsi="宋体"/>
                      <w:bCs/>
                      <w:spacing w:val="-4"/>
                      <w:sz w:val="18"/>
                      <w:szCs w:val="18"/>
                    </w:rPr>
                    <w:t>变压器供电</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bCs/>
                      <w:kern w:val="0"/>
                      <w:sz w:val="18"/>
                      <w:szCs w:val="18"/>
                    </w:rPr>
                  </w:pPr>
                  <w:r>
                    <w:rPr>
                      <w:rFonts w:ascii="宋体" w:hAnsi="宋体"/>
                      <w:sz w:val="18"/>
                      <w:szCs w:val="18"/>
                    </w:rPr>
                    <w:t>排水：</w:t>
                  </w:r>
                  <w:r>
                    <w:rPr>
                      <w:rFonts w:hint="eastAsia" w:ascii="宋体" w:hAnsi="宋体"/>
                      <w:sz w:val="18"/>
                      <w:szCs w:val="18"/>
                    </w:rPr>
                    <w:t>纯水设备排放的浓水、锅炉排水，采用管道收集至洗涤废水处理池，处理后经自建管网达标排入东岳场镇污水管网，最终进入东岳场镇污水处理厂</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nil"/>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噪声</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84" w:type="dxa"/>
                  <w:vMerge w:val="restart"/>
                  <w:tcBorders>
                    <w:top w:val="nil"/>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环保</w:t>
                  </w:r>
                </w:p>
                <w:p>
                  <w:pPr>
                    <w:spacing w:line="280" w:lineRule="exact"/>
                    <w:ind w:left="-71" w:leftChars="-34" w:right="-71" w:rightChars="-34"/>
                    <w:jc w:val="center"/>
                    <w:rPr>
                      <w:sz w:val="18"/>
                      <w:szCs w:val="18"/>
                    </w:rPr>
                  </w:pPr>
                  <w:r>
                    <w:rPr>
                      <w:rFonts w:ascii="宋体" w:hAnsi="宋体"/>
                      <w:sz w:val="18"/>
                      <w:szCs w:val="18"/>
                    </w:rPr>
                    <w:t>工程</w:t>
                  </w:r>
                </w:p>
              </w:tc>
              <w:tc>
                <w:tcPr>
                  <w:tcW w:w="50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bCs/>
                      <w:kern w:val="0"/>
                      <w:sz w:val="18"/>
                      <w:szCs w:val="18"/>
                    </w:rPr>
                  </w:pPr>
                  <w:r>
                    <w:rPr>
                      <w:rFonts w:ascii="宋体" w:hAnsi="宋体"/>
                      <w:bCs/>
                      <w:kern w:val="0"/>
                      <w:sz w:val="18"/>
                      <w:szCs w:val="18"/>
                    </w:rPr>
                    <w:t>废气</w:t>
                  </w:r>
                </w:p>
                <w:p>
                  <w:pPr>
                    <w:spacing w:line="280" w:lineRule="exact"/>
                    <w:ind w:left="-71" w:leftChars="-34" w:right="-71" w:rightChars="-34"/>
                    <w:jc w:val="center"/>
                    <w:rPr>
                      <w:bCs/>
                      <w:kern w:val="0"/>
                      <w:sz w:val="18"/>
                      <w:szCs w:val="18"/>
                    </w:rPr>
                  </w:pPr>
                  <w:r>
                    <w:rPr>
                      <w:rFonts w:ascii="宋体" w:hAnsi="宋体"/>
                      <w:bCs/>
                      <w:kern w:val="0"/>
                      <w:sz w:val="18"/>
                      <w:szCs w:val="18"/>
                    </w:rPr>
                    <w:t>处理</w:t>
                  </w:r>
                </w:p>
              </w:tc>
              <w:tc>
                <w:tcPr>
                  <w:tcW w:w="48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kern w:val="0"/>
                      <w:sz w:val="18"/>
                      <w:szCs w:val="18"/>
                    </w:rPr>
                  </w:pPr>
                  <w:r>
                    <w:rPr>
                      <w:rFonts w:hint="eastAsia" w:ascii="宋体" w:hAnsi="宋体"/>
                      <w:kern w:val="0"/>
                      <w:sz w:val="18"/>
                      <w:szCs w:val="18"/>
                    </w:rPr>
                    <w:t>锅炉废气：项目</w:t>
                  </w:r>
                  <w:r>
                    <w:rPr>
                      <w:rFonts w:ascii="宋体" w:hAnsi="宋体"/>
                      <w:kern w:val="0"/>
                      <w:sz w:val="18"/>
                      <w:szCs w:val="18"/>
                    </w:rPr>
                    <w:t>新增锅炉采用天然气作为燃料，为清洁能源，锅炉</w:t>
                  </w:r>
                  <w:r>
                    <w:rPr>
                      <w:rFonts w:hint="eastAsia" w:ascii="宋体" w:hAnsi="宋体"/>
                      <w:kern w:val="0"/>
                      <w:sz w:val="18"/>
                      <w:szCs w:val="18"/>
                    </w:rPr>
                    <w:t>配套低氮燃烧器，</w:t>
                  </w:r>
                  <w:r>
                    <w:rPr>
                      <w:rFonts w:ascii="宋体" w:hAnsi="宋体"/>
                      <w:kern w:val="0"/>
                      <w:sz w:val="18"/>
                      <w:szCs w:val="18"/>
                    </w:rPr>
                    <w:t>燃</w:t>
                  </w:r>
                  <w:r>
                    <w:rPr>
                      <w:rFonts w:hint="eastAsia" w:ascii="宋体" w:hAnsi="宋体"/>
                      <w:kern w:val="0"/>
                      <w:sz w:val="18"/>
                      <w:szCs w:val="18"/>
                    </w:rPr>
                    <w:t>烧</w:t>
                  </w:r>
                  <w:r>
                    <w:rPr>
                      <w:rFonts w:ascii="宋体" w:hAnsi="宋体"/>
                      <w:kern w:val="0"/>
                      <w:sz w:val="18"/>
                      <w:szCs w:val="18"/>
                    </w:rPr>
                    <w:t>废气采用直排形式，通过</w:t>
                  </w:r>
                  <w:r>
                    <w:rPr>
                      <w:rFonts w:hint="eastAsia"/>
                      <w:kern w:val="0"/>
                      <w:sz w:val="18"/>
                      <w:szCs w:val="18"/>
                    </w:rPr>
                    <w:t>1</w:t>
                  </w:r>
                  <w:r>
                    <w:rPr>
                      <w:rFonts w:ascii="宋体" w:hAnsi="宋体"/>
                      <w:kern w:val="0"/>
                      <w:sz w:val="18"/>
                      <w:szCs w:val="18"/>
                    </w:rPr>
                    <w:t>根</w:t>
                  </w:r>
                  <w:r>
                    <w:rPr>
                      <w:rFonts w:hint="eastAsia" w:ascii="宋体" w:hAnsi="宋体"/>
                      <w:kern w:val="0"/>
                      <w:sz w:val="18"/>
                      <w:szCs w:val="18"/>
                    </w:rPr>
                    <w:t>10</w:t>
                  </w:r>
                  <w:r>
                    <w:rPr>
                      <w:rFonts w:hint="eastAsia"/>
                      <w:kern w:val="0"/>
                      <w:sz w:val="18"/>
                      <w:szCs w:val="18"/>
                    </w:rPr>
                    <w:t>m</w:t>
                  </w:r>
                  <w:r>
                    <w:rPr>
                      <w:rFonts w:hint="eastAsia" w:ascii="宋体" w:hAnsi="宋体"/>
                      <w:kern w:val="0"/>
                      <w:sz w:val="18"/>
                      <w:szCs w:val="18"/>
                    </w:rPr>
                    <w:t>的</w:t>
                  </w:r>
                  <w:r>
                    <w:rPr>
                      <w:rFonts w:ascii="宋体" w:hAnsi="宋体"/>
                      <w:kern w:val="0"/>
                      <w:sz w:val="18"/>
                      <w:szCs w:val="18"/>
                    </w:rPr>
                    <w:t>排气筒实现有组织排放</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07" w:type="dxa"/>
                  <w:vMerge w:val="restart"/>
                  <w:tcBorders>
                    <w:top w:val="nil"/>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废水</w:t>
                  </w:r>
                </w:p>
                <w:p>
                  <w:pPr>
                    <w:spacing w:line="280" w:lineRule="exact"/>
                    <w:ind w:left="-71" w:leftChars="-34" w:right="-71" w:rightChars="-34"/>
                    <w:jc w:val="center"/>
                    <w:rPr>
                      <w:sz w:val="18"/>
                      <w:szCs w:val="18"/>
                    </w:rPr>
                  </w:pPr>
                  <w:r>
                    <w:rPr>
                      <w:rFonts w:ascii="宋体" w:hAnsi="宋体"/>
                      <w:sz w:val="18"/>
                      <w:szCs w:val="18"/>
                    </w:rPr>
                    <w:t>处理</w:t>
                  </w:r>
                </w:p>
              </w:tc>
              <w:tc>
                <w:tcPr>
                  <w:tcW w:w="48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sz w:val="18"/>
                      <w:szCs w:val="18"/>
                    </w:rPr>
                  </w:pPr>
                  <w:r>
                    <w:rPr>
                      <w:rFonts w:hint="eastAsia" w:ascii="宋体" w:hAnsi="宋体"/>
                      <w:sz w:val="18"/>
                      <w:szCs w:val="18"/>
                    </w:rPr>
                    <w:t>锅炉排污废水：采用管道收集至洗涤废水处理池，沉淀处理后经自建管网达标排入东岳场镇污水管网，最终进入东岳场镇污水处理厂</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359"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8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sz w:val="18"/>
                      <w:szCs w:val="18"/>
                    </w:rPr>
                  </w:pPr>
                  <w:r>
                    <w:rPr>
                      <w:rFonts w:hint="eastAsia" w:ascii="宋体" w:hAnsi="宋体"/>
                      <w:sz w:val="18"/>
                      <w:szCs w:val="18"/>
                    </w:rPr>
                    <w:t>软水设施废水：包括软水植被的浓水和树脂定期反冲洗的再生废水，采用管道收集至洗涤废水处理池，处理后经自建管网达标排入东岳场镇污水管网，最终进入东岳场镇污水处理厂</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359"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8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sz w:val="18"/>
                      <w:szCs w:val="18"/>
                    </w:rPr>
                  </w:pPr>
                  <w:r>
                    <w:rPr>
                      <w:rFonts w:hint="eastAsia" w:ascii="宋体" w:hAnsi="宋体"/>
                      <w:sz w:val="18"/>
                      <w:szCs w:val="18"/>
                    </w:rPr>
                    <w:t>生活污水：不增加职工，生活污水不会增加</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0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噪声</w:t>
                  </w:r>
                </w:p>
                <w:p>
                  <w:pPr>
                    <w:spacing w:line="280" w:lineRule="exact"/>
                    <w:ind w:left="-71" w:leftChars="-34" w:right="-71" w:rightChars="-34"/>
                    <w:jc w:val="center"/>
                    <w:rPr>
                      <w:sz w:val="18"/>
                      <w:szCs w:val="18"/>
                    </w:rPr>
                  </w:pPr>
                  <w:r>
                    <w:rPr>
                      <w:rFonts w:ascii="宋体" w:hAnsi="宋体"/>
                      <w:sz w:val="18"/>
                      <w:szCs w:val="18"/>
                    </w:rPr>
                    <w:t>治理</w:t>
                  </w:r>
                </w:p>
              </w:tc>
              <w:tc>
                <w:tcPr>
                  <w:tcW w:w="48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sz w:val="18"/>
                      <w:szCs w:val="18"/>
                    </w:rPr>
                  </w:pPr>
                  <w:r>
                    <w:rPr>
                      <w:rFonts w:ascii="宋体" w:hAnsi="宋体"/>
                      <w:sz w:val="18"/>
                      <w:szCs w:val="18"/>
                    </w:rPr>
                    <w:t>新增燃气锅炉</w:t>
                  </w:r>
                  <w:r>
                    <w:rPr>
                      <w:rFonts w:hint="eastAsia" w:ascii="宋体" w:hAnsi="宋体"/>
                      <w:sz w:val="18"/>
                      <w:szCs w:val="18"/>
                    </w:rPr>
                    <w:t>拟建设在</w:t>
                  </w:r>
                  <w:r>
                    <w:rPr>
                      <w:rFonts w:ascii="宋体" w:hAnsi="宋体"/>
                      <w:sz w:val="18"/>
                      <w:szCs w:val="18"/>
                    </w:rPr>
                    <w:t>专用设备用房，通过建筑隔声；同时，选用低噪声设备，设备安装时加装减振垫等措施降低噪声</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684"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0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固废</w:t>
                  </w:r>
                </w:p>
                <w:p>
                  <w:pPr>
                    <w:spacing w:line="280" w:lineRule="exact"/>
                    <w:ind w:left="-71" w:leftChars="-34" w:right="-71" w:rightChars="-34"/>
                    <w:jc w:val="center"/>
                    <w:rPr>
                      <w:sz w:val="18"/>
                      <w:szCs w:val="18"/>
                    </w:rPr>
                  </w:pPr>
                  <w:r>
                    <w:rPr>
                      <w:rFonts w:ascii="宋体" w:hAnsi="宋体"/>
                      <w:sz w:val="18"/>
                      <w:szCs w:val="18"/>
                    </w:rPr>
                    <w:t>处置</w:t>
                  </w:r>
                </w:p>
              </w:tc>
              <w:tc>
                <w:tcPr>
                  <w:tcW w:w="4852" w:type="dxa"/>
                  <w:tcBorders>
                    <w:top w:val="single" w:color="auto" w:sz="4" w:space="0"/>
                    <w:left w:val="single" w:color="auto" w:sz="4" w:space="0"/>
                    <w:bottom w:val="nil"/>
                    <w:right w:val="single" w:color="auto" w:sz="4" w:space="0"/>
                  </w:tcBorders>
                  <w:vAlign w:val="center"/>
                </w:tcPr>
                <w:p>
                  <w:pPr>
                    <w:spacing w:line="280" w:lineRule="exact"/>
                    <w:ind w:left="-71" w:leftChars="-34" w:right="-71" w:rightChars="-34"/>
                    <w:rPr>
                      <w:sz w:val="18"/>
                      <w:szCs w:val="18"/>
                    </w:rPr>
                  </w:pPr>
                  <w:r>
                    <w:rPr>
                      <w:rFonts w:hint="eastAsia" w:ascii="宋体" w:hAnsi="宋体"/>
                      <w:sz w:val="18"/>
                      <w:szCs w:val="18"/>
                    </w:rPr>
                    <w:t>废离子交换树脂：属一般固废，定期更换与生活垃圾一并处理</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8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办公及生活</w:t>
                  </w:r>
                </w:p>
              </w:tc>
              <w:tc>
                <w:tcPr>
                  <w:tcW w:w="5359" w:type="dxa"/>
                  <w:gridSpan w:val="2"/>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sz w:val="18"/>
                      <w:szCs w:val="18"/>
                    </w:rPr>
                  </w:pPr>
                  <w:r>
                    <w:rPr>
                      <w:rFonts w:hint="eastAsia" w:ascii="宋体" w:hAnsi="宋体"/>
                      <w:kern w:val="0"/>
                      <w:sz w:val="18"/>
                      <w:szCs w:val="18"/>
                    </w:rPr>
                    <w:t>厂区已建有办公楼、宿舍楼、职工食堂等设施，本次不新建，全部依托已建设施</w:t>
                  </w:r>
                </w:p>
              </w:tc>
              <w:tc>
                <w:tcPr>
                  <w:tcW w:w="139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75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固废</w:t>
                  </w:r>
                  <w:r>
                    <w:rPr>
                      <w:rFonts w:hint="eastAsia" w:ascii="宋体" w:hAnsi="宋体"/>
                      <w:sz w:val="18"/>
                      <w:szCs w:val="18"/>
                    </w:rPr>
                    <w:t>、废水、废气、噪声</w:t>
                  </w:r>
                </w:p>
              </w:tc>
              <w:tc>
                <w:tcPr>
                  <w:tcW w:w="4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ascii="宋体" w:hAnsi="宋体"/>
                      <w:sz w:val="18"/>
                      <w:szCs w:val="18"/>
                    </w:rPr>
                    <w:t>依托</w:t>
                  </w:r>
                </w:p>
              </w:tc>
            </w:tr>
          </w:tbl>
          <w:p>
            <w:pPr>
              <w:adjustRightInd w:val="0"/>
              <w:snapToGrid w:val="0"/>
              <w:spacing w:line="400" w:lineRule="exact"/>
              <w:ind w:left="-53" w:leftChars="-25" w:right="-53" w:rightChars="-25" w:firstLine="420" w:firstLineChars="200"/>
              <w:jc w:val="left"/>
              <w:rPr>
                <w:kern w:val="0"/>
              </w:rPr>
            </w:pPr>
            <w:r>
              <w:rPr>
                <w:rFonts w:hint="eastAsia" w:ascii="宋体" w:hAnsi="宋体"/>
                <w:kern w:val="0"/>
              </w:rPr>
              <w:t>本项目与厂区内已有工程依托关系及可行性分析见下表。</w:t>
            </w:r>
          </w:p>
          <w:p>
            <w:pPr>
              <w:autoSpaceDE w:val="0"/>
              <w:autoSpaceDN w:val="0"/>
              <w:adjustRightInd w:val="0"/>
              <w:snapToGrid w:val="0"/>
              <w:spacing w:line="320" w:lineRule="exact"/>
              <w:jc w:val="center"/>
              <w:rPr>
                <w:rFonts w:eastAsia="黑体"/>
                <w:kern w:val="0"/>
                <w:sz w:val="20"/>
                <w:szCs w:val="20"/>
              </w:rPr>
            </w:pPr>
            <w:r>
              <w:rPr>
                <w:rFonts w:hint="eastAsia" w:ascii="黑体" w:hAnsi="黑体" w:eastAsia="黑体"/>
                <w:kern w:val="0"/>
                <w:sz w:val="20"/>
                <w:szCs w:val="20"/>
              </w:rPr>
              <w:t>表</w:t>
            </w:r>
            <w:r>
              <w:rPr>
                <w:rFonts w:hint="eastAsia" w:eastAsia="黑体"/>
                <w:kern w:val="0"/>
                <w:sz w:val="20"/>
                <w:szCs w:val="20"/>
              </w:rPr>
              <w:t xml:space="preserve">2-2   </w:t>
            </w:r>
            <w:r>
              <w:rPr>
                <w:rFonts w:hint="eastAsia" w:ascii="黑体" w:hAnsi="黑体" w:eastAsia="黑体"/>
                <w:kern w:val="0"/>
                <w:sz w:val="20"/>
                <w:szCs w:val="20"/>
              </w:rPr>
              <w:t>本项目与厂区内已有工程依托关系及可行性分析</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2"/>
              <w:gridCol w:w="851"/>
              <w:gridCol w:w="4574"/>
              <w:gridCol w:w="1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592" w:type="dxa"/>
                  <w:vAlign w:val="center"/>
                </w:tcPr>
                <w:p>
                  <w:pPr>
                    <w:spacing w:line="280" w:lineRule="exact"/>
                    <w:ind w:left="-71" w:leftChars="-34" w:right="-71" w:rightChars="-34"/>
                    <w:jc w:val="center"/>
                    <w:rPr>
                      <w:b/>
                      <w:bCs/>
                      <w:sz w:val="18"/>
                      <w:szCs w:val="18"/>
                    </w:rPr>
                  </w:pPr>
                  <w:r>
                    <w:rPr>
                      <w:rFonts w:hint="eastAsia" w:ascii="宋体" w:hAnsi="宋体"/>
                      <w:b/>
                      <w:bCs/>
                      <w:sz w:val="18"/>
                      <w:szCs w:val="18"/>
                    </w:rPr>
                    <w:t>序号</w:t>
                  </w:r>
                </w:p>
              </w:tc>
              <w:tc>
                <w:tcPr>
                  <w:tcW w:w="851" w:type="dxa"/>
                  <w:vAlign w:val="center"/>
                </w:tcPr>
                <w:p>
                  <w:pPr>
                    <w:spacing w:line="280" w:lineRule="exact"/>
                    <w:ind w:left="-71" w:leftChars="-34" w:right="-71" w:rightChars="-34"/>
                    <w:jc w:val="center"/>
                    <w:rPr>
                      <w:b/>
                      <w:bCs/>
                      <w:sz w:val="18"/>
                      <w:szCs w:val="18"/>
                    </w:rPr>
                  </w:pPr>
                  <w:r>
                    <w:rPr>
                      <w:rFonts w:hint="eastAsia" w:ascii="宋体" w:hAnsi="宋体"/>
                      <w:b/>
                      <w:bCs/>
                      <w:sz w:val="18"/>
                      <w:szCs w:val="18"/>
                    </w:rPr>
                    <w:t>名称</w:t>
                  </w:r>
                </w:p>
              </w:tc>
              <w:tc>
                <w:tcPr>
                  <w:tcW w:w="4574" w:type="dxa"/>
                  <w:vAlign w:val="center"/>
                </w:tcPr>
                <w:p>
                  <w:pPr>
                    <w:spacing w:line="280" w:lineRule="exact"/>
                    <w:ind w:left="-71" w:leftChars="-34" w:right="-71" w:rightChars="-34"/>
                    <w:jc w:val="center"/>
                    <w:rPr>
                      <w:b/>
                      <w:bCs/>
                      <w:sz w:val="18"/>
                      <w:szCs w:val="18"/>
                    </w:rPr>
                  </w:pPr>
                  <w:r>
                    <w:rPr>
                      <w:rFonts w:hint="eastAsia" w:ascii="宋体" w:hAnsi="宋体"/>
                      <w:b/>
                      <w:bCs/>
                      <w:sz w:val="18"/>
                      <w:szCs w:val="18"/>
                    </w:rPr>
                    <w:t>内容</w:t>
                  </w:r>
                </w:p>
              </w:tc>
              <w:tc>
                <w:tcPr>
                  <w:tcW w:w="1913" w:type="dxa"/>
                  <w:vAlign w:val="center"/>
                </w:tcPr>
                <w:p>
                  <w:pPr>
                    <w:spacing w:line="280" w:lineRule="exact"/>
                    <w:ind w:left="-71" w:leftChars="-34" w:right="-71" w:rightChars="-34"/>
                    <w:jc w:val="center"/>
                    <w:rPr>
                      <w:b/>
                      <w:bCs/>
                      <w:sz w:val="18"/>
                      <w:szCs w:val="18"/>
                    </w:rPr>
                  </w:pPr>
                  <w:r>
                    <w:rPr>
                      <w:rFonts w:hint="eastAsia" w:ascii="宋体" w:hAnsi="宋体"/>
                      <w:b/>
                      <w:bCs/>
                      <w:sz w:val="18"/>
                      <w:szCs w:val="18"/>
                    </w:rPr>
                    <w:t>依托可行性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92" w:type="dxa"/>
                  <w:vAlign w:val="center"/>
                </w:tcPr>
                <w:p>
                  <w:pPr>
                    <w:spacing w:line="280" w:lineRule="exact"/>
                    <w:ind w:left="-71" w:leftChars="-34" w:right="-71" w:rightChars="-34"/>
                    <w:jc w:val="center"/>
                    <w:rPr>
                      <w:sz w:val="18"/>
                      <w:szCs w:val="18"/>
                    </w:rPr>
                  </w:pPr>
                  <w:r>
                    <w:rPr>
                      <w:rFonts w:hint="eastAsia"/>
                      <w:sz w:val="18"/>
                      <w:szCs w:val="18"/>
                    </w:rPr>
                    <w:t>1</w:t>
                  </w:r>
                </w:p>
              </w:tc>
              <w:tc>
                <w:tcPr>
                  <w:tcW w:w="851" w:type="dxa"/>
                  <w:vAlign w:val="center"/>
                </w:tcPr>
                <w:p>
                  <w:pPr>
                    <w:spacing w:line="280" w:lineRule="exact"/>
                    <w:ind w:left="-71" w:leftChars="-34" w:right="-71" w:rightChars="-34"/>
                    <w:jc w:val="center"/>
                    <w:rPr>
                      <w:sz w:val="18"/>
                      <w:szCs w:val="18"/>
                    </w:rPr>
                  </w:pPr>
                  <w:r>
                    <w:rPr>
                      <w:rFonts w:hint="eastAsia" w:ascii="宋体" w:hAnsi="宋体"/>
                      <w:sz w:val="18"/>
                      <w:szCs w:val="18"/>
                    </w:rPr>
                    <w:t>燃气供应</w:t>
                  </w:r>
                </w:p>
              </w:tc>
              <w:tc>
                <w:tcPr>
                  <w:tcW w:w="4574" w:type="dxa"/>
                  <w:vAlign w:val="center"/>
                </w:tcPr>
                <w:p>
                  <w:pPr>
                    <w:spacing w:line="280" w:lineRule="exact"/>
                    <w:ind w:left="-71" w:leftChars="-34" w:right="-71" w:rightChars="-34"/>
                    <w:jc w:val="left"/>
                    <w:rPr>
                      <w:sz w:val="18"/>
                      <w:szCs w:val="18"/>
                    </w:rPr>
                  </w:pPr>
                  <w:r>
                    <w:rPr>
                      <w:rFonts w:hint="eastAsia" w:ascii="宋体" w:hAnsi="宋体"/>
                      <w:sz w:val="18"/>
                      <w:szCs w:val="18"/>
                    </w:rPr>
                    <w:t>公司厂区内已接入了专门的工业用燃气管道，最大供气量可达</w:t>
                  </w:r>
                  <w:r>
                    <w:rPr>
                      <w:rFonts w:hint="eastAsia"/>
                      <w:sz w:val="18"/>
                      <w:szCs w:val="18"/>
                    </w:rPr>
                    <w:t>1800Nm</w:t>
                  </w:r>
                  <w:r>
                    <w:rPr>
                      <w:rFonts w:hint="eastAsia"/>
                      <w:sz w:val="18"/>
                      <w:szCs w:val="18"/>
                      <w:vertAlign w:val="superscript"/>
                    </w:rPr>
                    <w:t>3</w:t>
                  </w:r>
                  <w:r>
                    <w:rPr>
                      <w:rFonts w:hint="eastAsia"/>
                      <w:sz w:val="18"/>
                      <w:szCs w:val="18"/>
                    </w:rPr>
                    <w:t>/h</w:t>
                  </w:r>
                  <w:r>
                    <w:rPr>
                      <w:rFonts w:hint="eastAsia" w:ascii="宋体" w:hAnsi="宋体"/>
                      <w:sz w:val="18"/>
                      <w:szCs w:val="18"/>
                    </w:rPr>
                    <w:t>，目前仅作为食堂生活使用，项目用气量</w:t>
                  </w:r>
                  <w:r>
                    <w:rPr>
                      <w:rFonts w:hint="eastAsia"/>
                      <w:sz w:val="18"/>
                      <w:szCs w:val="18"/>
                    </w:rPr>
                    <w:t>154Nm</w:t>
                  </w:r>
                  <w:r>
                    <w:rPr>
                      <w:rFonts w:hint="eastAsia"/>
                      <w:sz w:val="18"/>
                      <w:szCs w:val="18"/>
                      <w:vertAlign w:val="superscript"/>
                    </w:rPr>
                    <w:t>3</w:t>
                  </w:r>
                  <w:r>
                    <w:rPr>
                      <w:rFonts w:hint="eastAsia"/>
                      <w:sz w:val="18"/>
                      <w:szCs w:val="18"/>
                    </w:rPr>
                    <w:t>/h</w:t>
                  </w:r>
                  <w:r>
                    <w:rPr>
                      <w:rFonts w:hint="eastAsia" w:ascii="宋体" w:hAnsi="宋体"/>
                      <w:sz w:val="18"/>
                      <w:szCs w:val="18"/>
                    </w:rPr>
                    <w:t>，已建设施供气量、气压满足生产使用</w:t>
                  </w:r>
                </w:p>
              </w:tc>
              <w:tc>
                <w:tcPr>
                  <w:tcW w:w="1913" w:type="dxa"/>
                  <w:vMerge w:val="restart"/>
                  <w:vAlign w:val="center"/>
                </w:tcPr>
                <w:p>
                  <w:pPr>
                    <w:spacing w:line="280" w:lineRule="exact"/>
                    <w:ind w:left="-71" w:leftChars="-34" w:right="-71" w:rightChars="-34"/>
                    <w:jc w:val="left"/>
                    <w:rPr>
                      <w:sz w:val="18"/>
                      <w:szCs w:val="18"/>
                    </w:rPr>
                  </w:pPr>
                  <w:r>
                    <w:rPr>
                      <w:rFonts w:hint="eastAsia" w:ascii="宋体" w:hAnsi="宋体"/>
                      <w:sz w:val="18"/>
                      <w:szCs w:val="18"/>
                    </w:rPr>
                    <w:t>本项目位于洁泰洗涤厂区内，为新增备用的生产辅助设施设备，不新增产能。已有的供汽管道考虑了生产使用。因此本项目依托可行。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92" w:type="dxa"/>
                  <w:vAlign w:val="center"/>
                </w:tcPr>
                <w:p>
                  <w:pPr>
                    <w:spacing w:line="280" w:lineRule="exact"/>
                    <w:ind w:left="-71" w:leftChars="-34" w:right="-71" w:rightChars="-34"/>
                    <w:jc w:val="center"/>
                    <w:rPr>
                      <w:sz w:val="18"/>
                      <w:szCs w:val="18"/>
                    </w:rPr>
                  </w:pPr>
                  <w:r>
                    <w:rPr>
                      <w:rFonts w:hint="eastAsia"/>
                      <w:sz w:val="18"/>
                      <w:szCs w:val="18"/>
                    </w:rPr>
                    <w:t>2</w:t>
                  </w:r>
                </w:p>
              </w:tc>
              <w:tc>
                <w:tcPr>
                  <w:tcW w:w="851" w:type="dxa"/>
                  <w:vAlign w:val="center"/>
                </w:tcPr>
                <w:p>
                  <w:pPr>
                    <w:spacing w:line="280" w:lineRule="exact"/>
                    <w:ind w:left="-71" w:leftChars="-34" w:right="-71" w:rightChars="-34"/>
                    <w:jc w:val="center"/>
                    <w:rPr>
                      <w:sz w:val="18"/>
                      <w:szCs w:val="18"/>
                    </w:rPr>
                  </w:pPr>
                  <w:r>
                    <w:rPr>
                      <w:rFonts w:hint="eastAsia" w:ascii="宋体" w:hAnsi="宋体"/>
                      <w:sz w:val="18"/>
                      <w:szCs w:val="18"/>
                    </w:rPr>
                    <w:t>蒸汽管网</w:t>
                  </w:r>
                </w:p>
              </w:tc>
              <w:tc>
                <w:tcPr>
                  <w:tcW w:w="4574" w:type="dxa"/>
                  <w:vAlign w:val="center"/>
                </w:tcPr>
                <w:p>
                  <w:pPr>
                    <w:spacing w:line="280" w:lineRule="exact"/>
                    <w:ind w:left="-71" w:leftChars="-34" w:right="-71" w:rightChars="-34"/>
                    <w:jc w:val="left"/>
                    <w:rPr>
                      <w:sz w:val="18"/>
                      <w:szCs w:val="18"/>
                    </w:rPr>
                  </w:pPr>
                  <w:r>
                    <w:rPr>
                      <w:rFonts w:hint="eastAsia" w:ascii="宋体" w:hAnsi="宋体"/>
                      <w:sz w:val="18"/>
                      <w:szCs w:val="18"/>
                    </w:rPr>
                    <w:t>公司已从东岳电厂建有至厂区生产车架的供汽管道，本项目仅需将锅炉蒸汽接入现有的供汽管道即可</w:t>
                  </w:r>
                </w:p>
              </w:tc>
              <w:tc>
                <w:tcPr>
                  <w:tcW w:w="1913" w:type="dxa"/>
                  <w:vMerge w:val="continue"/>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 w:hRule="atLeast"/>
                <w:jc w:val="center"/>
              </w:trPr>
              <w:tc>
                <w:tcPr>
                  <w:tcW w:w="592" w:type="dxa"/>
                  <w:vAlign w:val="center"/>
                </w:tcPr>
                <w:p>
                  <w:pPr>
                    <w:spacing w:line="280" w:lineRule="exact"/>
                    <w:ind w:left="-71" w:leftChars="-34" w:right="-71" w:rightChars="-34"/>
                    <w:jc w:val="center"/>
                    <w:rPr>
                      <w:sz w:val="18"/>
                      <w:szCs w:val="18"/>
                    </w:rPr>
                  </w:pPr>
                  <w:r>
                    <w:rPr>
                      <w:rFonts w:hint="eastAsia"/>
                      <w:sz w:val="18"/>
                      <w:szCs w:val="18"/>
                    </w:rPr>
                    <w:t>3</w:t>
                  </w:r>
                </w:p>
              </w:tc>
              <w:tc>
                <w:tcPr>
                  <w:tcW w:w="851" w:type="dxa"/>
                  <w:vAlign w:val="center"/>
                </w:tcPr>
                <w:p>
                  <w:pPr>
                    <w:spacing w:line="280" w:lineRule="exact"/>
                    <w:ind w:left="-71" w:leftChars="-34" w:right="-71" w:rightChars="-34"/>
                    <w:jc w:val="center"/>
                    <w:rPr>
                      <w:sz w:val="18"/>
                      <w:szCs w:val="18"/>
                    </w:rPr>
                  </w:pPr>
                  <w:r>
                    <w:rPr>
                      <w:rFonts w:hint="eastAsia" w:ascii="宋体" w:hAnsi="宋体"/>
                      <w:sz w:val="18"/>
                      <w:szCs w:val="18"/>
                    </w:rPr>
                    <w:t>供水</w:t>
                  </w:r>
                </w:p>
              </w:tc>
              <w:tc>
                <w:tcPr>
                  <w:tcW w:w="4574" w:type="dxa"/>
                  <w:vAlign w:val="center"/>
                </w:tcPr>
                <w:p>
                  <w:pPr>
                    <w:spacing w:line="280" w:lineRule="exact"/>
                    <w:ind w:left="-71" w:leftChars="-34" w:right="-71" w:rightChars="-34"/>
                    <w:jc w:val="left"/>
                    <w:rPr>
                      <w:sz w:val="18"/>
                      <w:szCs w:val="18"/>
                    </w:rPr>
                  </w:pPr>
                  <w:r>
                    <w:rPr>
                      <w:rFonts w:hint="eastAsia" w:ascii="宋体" w:hAnsi="宋体"/>
                      <w:sz w:val="18"/>
                      <w:szCs w:val="18"/>
                    </w:rPr>
                    <w:t>公司厂区内已有完善的供水管网，可直接从其供水管道接入锅炉房，水量水质满足锅炉用水</w:t>
                  </w:r>
                </w:p>
              </w:tc>
              <w:tc>
                <w:tcPr>
                  <w:tcW w:w="1913" w:type="dxa"/>
                  <w:vMerge w:val="continue"/>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1" w:hRule="atLeast"/>
                <w:jc w:val="center"/>
              </w:trPr>
              <w:tc>
                <w:tcPr>
                  <w:tcW w:w="592" w:type="dxa"/>
                  <w:vAlign w:val="center"/>
                </w:tcPr>
                <w:p>
                  <w:pPr>
                    <w:spacing w:line="280" w:lineRule="exact"/>
                    <w:ind w:left="-71" w:leftChars="-34" w:right="-71" w:rightChars="-34"/>
                    <w:jc w:val="center"/>
                    <w:rPr>
                      <w:sz w:val="18"/>
                      <w:szCs w:val="18"/>
                    </w:rPr>
                  </w:pPr>
                  <w:r>
                    <w:rPr>
                      <w:rFonts w:hint="eastAsia"/>
                      <w:sz w:val="18"/>
                      <w:szCs w:val="18"/>
                    </w:rPr>
                    <w:t>4</w:t>
                  </w:r>
                </w:p>
              </w:tc>
              <w:tc>
                <w:tcPr>
                  <w:tcW w:w="851" w:type="dxa"/>
                  <w:vAlign w:val="center"/>
                </w:tcPr>
                <w:p>
                  <w:pPr>
                    <w:spacing w:line="280" w:lineRule="exact"/>
                    <w:ind w:left="-71" w:leftChars="-34" w:right="-71" w:rightChars="-34"/>
                    <w:jc w:val="center"/>
                    <w:rPr>
                      <w:sz w:val="18"/>
                      <w:szCs w:val="18"/>
                    </w:rPr>
                  </w:pPr>
                  <w:r>
                    <w:rPr>
                      <w:rFonts w:hint="eastAsia" w:ascii="宋体" w:hAnsi="宋体"/>
                      <w:sz w:val="18"/>
                      <w:szCs w:val="18"/>
                    </w:rPr>
                    <w:t>供电</w:t>
                  </w:r>
                </w:p>
              </w:tc>
              <w:tc>
                <w:tcPr>
                  <w:tcW w:w="4574" w:type="dxa"/>
                  <w:vAlign w:val="center"/>
                </w:tcPr>
                <w:p>
                  <w:pPr>
                    <w:spacing w:line="280" w:lineRule="exact"/>
                    <w:ind w:left="-71" w:leftChars="-34" w:right="-71" w:rightChars="-34"/>
                    <w:jc w:val="left"/>
                    <w:rPr>
                      <w:sz w:val="18"/>
                      <w:szCs w:val="18"/>
                    </w:rPr>
                  </w:pPr>
                  <w:r>
                    <w:rPr>
                      <w:rFonts w:hint="eastAsia" w:ascii="宋体" w:hAnsi="宋体"/>
                      <w:sz w:val="18"/>
                      <w:szCs w:val="18"/>
                    </w:rPr>
                    <w:t>公司厂区内已有</w:t>
                  </w:r>
                  <w:r>
                    <w:rPr>
                      <w:rFonts w:hint="eastAsia"/>
                      <w:sz w:val="18"/>
                      <w:szCs w:val="18"/>
                    </w:rPr>
                    <w:t>1</w:t>
                  </w:r>
                  <w:r>
                    <w:rPr>
                      <w:rFonts w:hint="eastAsia" w:ascii="宋体" w:hAnsi="宋体"/>
                      <w:sz w:val="18"/>
                      <w:szCs w:val="18"/>
                    </w:rPr>
                    <w:t>台</w:t>
                  </w:r>
                  <w:r>
                    <w:rPr>
                      <w:rFonts w:hint="eastAsia"/>
                      <w:sz w:val="18"/>
                      <w:szCs w:val="18"/>
                    </w:rPr>
                    <w:t>250KVA</w:t>
                  </w:r>
                  <w:r>
                    <w:rPr>
                      <w:rFonts w:hint="eastAsia" w:ascii="宋体" w:hAnsi="宋体"/>
                      <w:sz w:val="18"/>
                      <w:szCs w:val="18"/>
                    </w:rPr>
                    <w:t>变压器，项目用电负荷较低，已有设施能够满足锅炉房的供电需求</w:t>
                  </w:r>
                </w:p>
              </w:tc>
              <w:tc>
                <w:tcPr>
                  <w:tcW w:w="1913" w:type="dxa"/>
                  <w:vMerge w:val="continue"/>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592" w:type="dxa"/>
                  <w:vAlign w:val="center"/>
                </w:tcPr>
                <w:p>
                  <w:pPr>
                    <w:spacing w:line="280" w:lineRule="exact"/>
                    <w:ind w:left="-71" w:leftChars="-34" w:right="-71" w:rightChars="-34"/>
                    <w:jc w:val="center"/>
                    <w:rPr>
                      <w:sz w:val="18"/>
                      <w:szCs w:val="18"/>
                    </w:rPr>
                  </w:pPr>
                  <w:r>
                    <w:rPr>
                      <w:rFonts w:hint="eastAsia"/>
                      <w:sz w:val="18"/>
                      <w:szCs w:val="18"/>
                    </w:rPr>
                    <w:t>5</w:t>
                  </w:r>
                </w:p>
              </w:tc>
              <w:tc>
                <w:tcPr>
                  <w:tcW w:w="851" w:type="dxa"/>
                  <w:vAlign w:val="center"/>
                </w:tcPr>
                <w:p>
                  <w:pPr>
                    <w:spacing w:line="280" w:lineRule="exact"/>
                    <w:ind w:left="-71" w:leftChars="-34" w:right="-71" w:rightChars="-34"/>
                    <w:jc w:val="center"/>
                    <w:rPr>
                      <w:sz w:val="18"/>
                      <w:szCs w:val="18"/>
                    </w:rPr>
                  </w:pPr>
                  <w:r>
                    <w:rPr>
                      <w:rFonts w:hint="eastAsia" w:ascii="宋体" w:hAnsi="宋体"/>
                      <w:sz w:val="18"/>
                      <w:szCs w:val="18"/>
                    </w:rPr>
                    <w:t>办公生活</w:t>
                  </w:r>
                </w:p>
              </w:tc>
              <w:tc>
                <w:tcPr>
                  <w:tcW w:w="4574" w:type="dxa"/>
                  <w:vAlign w:val="center"/>
                </w:tcPr>
                <w:p>
                  <w:pPr>
                    <w:spacing w:line="280" w:lineRule="exact"/>
                    <w:ind w:left="-71" w:leftChars="-34" w:right="-71" w:rightChars="-34"/>
                    <w:jc w:val="left"/>
                    <w:rPr>
                      <w:sz w:val="18"/>
                      <w:szCs w:val="18"/>
                    </w:rPr>
                  </w:pPr>
                  <w:r>
                    <w:rPr>
                      <w:rFonts w:hint="eastAsia" w:ascii="宋体" w:hAnsi="宋体"/>
                      <w:sz w:val="18"/>
                      <w:szCs w:val="18"/>
                    </w:rPr>
                    <w:t>本工程仅需</w:t>
                  </w:r>
                  <w:r>
                    <w:rPr>
                      <w:rFonts w:hint="eastAsia"/>
                      <w:sz w:val="18"/>
                      <w:szCs w:val="18"/>
                    </w:rPr>
                    <w:t>1</w:t>
                  </w:r>
                  <w:r>
                    <w:rPr>
                      <w:rFonts w:hint="eastAsia" w:ascii="宋体" w:hAnsi="宋体"/>
                      <w:sz w:val="18"/>
                      <w:szCs w:val="18"/>
                    </w:rPr>
                    <w:t>名工人运行维护，在现有劳动定员中调节，不增加职工</w:t>
                  </w:r>
                </w:p>
              </w:tc>
              <w:tc>
                <w:tcPr>
                  <w:tcW w:w="1913" w:type="dxa"/>
                  <w:vMerge w:val="continue"/>
                  <w:vAlign w:val="center"/>
                </w:tcPr>
                <w:p>
                  <w:pPr>
                    <w:widowControl/>
                    <w:jc w:val="left"/>
                    <w:rPr>
                      <w:sz w:val="18"/>
                      <w:szCs w:val="18"/>
                    </w:rPr>
                  </w:pPr>
                </w:p>
              </w:tc>
            </w:tr>
          </w:tbl>
          <w:p>
            <w:pPr>
              <w:adjustRightInd w:val="0"/>
              <w:snapToGrid w:val="0"/>
              <w:spacing w:line="400" w:lineRule="exact"/>
              <w:jc w:val="left"/>
              <w:rPr>
                <w:rFonts w:eastAsia="黑体"/>
                <w:bCs/>
                <w:sz w:val="22"/>
                <w:szCs w:val="22"/>
              </w:rPr>
            </w:pPr>
            <w:r>
              <w:rPr>
                <w:rFonts w:hint="eastAsia" w:eastAsia="黑体"/>
                <w:bCs/>
                <w:sz w:val="22"/>
                <w:szCs w:val="22"/>
              </w:rPr>
              <w:t>3</w:t>
            </w:r>
            <w:r>
              <w:rPr>
                <w:rFonts w:ascii="黑体" w:hAnsi="黑体" w:eastAsia="黑体"/>
                <w:bCs/>
                <w:sz w:val="22"/>
                <w:szCs w:val="22"/>
              </w:rPr>
              <w:t>、产品方案及产能</w:t>
            </w:r>
          </w:p>
          <w:p>
            <w:pPr>
              <w:adjustRightInd w:val="0"/>
              <w:snapToGrid w:val="0"/>
              <w:spacing w:line="400" w:lineRule="exact"/>
              <w:ind w:firstLine="420" w:firstLineChars="200"/>
              <w:jc w:val="left"/>
              <w:rPr>
                <w:kern w:val="0"/>
                <w:szCs w:val="21"/>
              </w:rPr>
            </w:pPr>
            <w:r>
              <w:rPr>
                <w:rFonts w:ascii="宋体" w:hAnsi="宋体"/>
                <w:kern w:val="0"/>
              </w:rPr>
              <w:t>本项目</w:t>
            </w:r>
            <w:r>
              <w:rPr>
                <w:rFonts w:hint="eastAsia" w:ascii="宋体" w:hAnsi="宋体"/>
                <w:kern w:val="0"/>
              </w:rPr>
              <w:t>为公司生产配套的辅助工程，产品为高温蒸汽，产能为</w:t>
            </w:r>
            <w:r>
              <w:rPr>
                <w:rFonts w:hint="eastAsia"/>
                <w:kern w:val="0"/>
              </w:rPr>
              <w:t>2t/h</w:t>
            </w:r>
            <w:r>
              <w:rPr>
                <w:rFonts w:hint="eastAsia" w:ascii="宋体" w:hAnsi="宋体"/>
                <w:kern w:val="0"/>
              </w:rPr>
              <w:t>，作为公司备用汽源，在东岳电厂供汽量不足时使用。</w:t>
            </w:r>
          </w:p>
          <w:p>
            <w:pPr>
              <w:adjustRightInd w:val="0"/>
              <w:snapToGrid w:val="0"/>
              <w:spacing w:line="400" w:lineRule="exact"/>
              <w:jc w:val="left"/>
              <w:rPr>
                <w:rFonts w:eastAsia="黑体"/>
                <w:bCs/>
                <w:sz w:val="22"/>
                <w:szCs w:val="22"/>
              </w:rPr>
            </w:pPr>
            <w:r>
              <w:rPr>
                <w:rFonts w:hint="eastAsia" w:eastAsia="黑体"/>
                <w:bCs/>
                <w:sz w:val="22"/>
                <w:szCs w:val="22"/>
              </w:rPr>
              <w:t>4</w:t>
            </w:r>
            <w:r>
              <w:rPr>
                <w:rFonts w:ascii="黑体" w:hAnsi="黑体" w:eastAsia="黑体"/>
                <w:bCs/>
                <w:sz w:val="22"/>
                <w:szCs w:val="22"/>
              </w:rPr>
              <w:t>、主要生产单元及工艺</w:t>
            </w:r>
          </w:p>
          <w:p>
            <w:pPr>
              <w:autoSpaceDE w:val="0"/>
              <w:autoSpaceDN w:val="0"/>
              <w:adjustRightInd w:val="0"/>
              <w:snapToGrid w:val="0"/>
              <w:spacing w:line="400" w:lineRule="exact"/>
              <w:ind w:firstLine="420" w:firstLineChars="200"/>
              <w:jc w:val="left"/>
              <w:rPr>
                <w:kern w:val="0"/>
                <w:szCs w:val="21"/>
              </w:rPr>
            </w:pPr>
            <w:r>
              <w:rPr>
                <w:rFonts w:ascii="宋体" w:hAnsi="宋体"/>
                <w:kern w:val="0"/>
              </w:rPr>
              <w:t>本项目主要生产单元为</w:t>
            </w:r>
            <w:r>
              <w:rPr>
                <w:rFonts w:hint="eastAsia" w:ascii="宋体" w:hAnsi="宋体"/>
                <w:kern w:val="0"/>
              </w:rPr>
              <w:t>锅炉</w:t>
            </w:r>
            <w:r>
              <w:rPr>
                <w:rFonts w:ascii="宋体" w:hAnsi="宋体"/>
                <w:kern w:val="0"/>
              </w:rPr>
              <w:t>车间，生产工艺为：</w:t>
            </w:r>
            <w:r>
              <w:rPr>
                <w:rFonts w:hint="eastAsia" w:ascii="宋体" w:hAnsi="宋体"/>
                <w:kern w:val="0"/>
              </w:rPr>
              <w:t>自来水</w:t>
            </w:r>
            <w:r>
              <w:rPr>
                <w:rFonts w:hint="eastAsia" w:ascii="宋体" w:hAnsi="宋体"/>
              </w:rPr>
              <w:t>→</w:t>
            </w:r>
            <w:r>
              <w:rPr>
                <w:rFonts w:hint="eastAsia" w:ascii="宋体" w:hAnsi="宋体"/>
                <w:kern w:val="0"/>
              </w:rPr>
              <w:t>软水设备</w:t>
            </w:r>
            <w:r>
              <w:rPr>
                <w:rFonts w:hint="eastAsia" w:ascii="宋体" w:hAnsi="宋体"/>
              </w:rPr>
              <w:t>→</w:t>
            </w:r>
            <w:r>
              <w:rPr>
                <w:rFonts w:hint="eastAsia" w:ascii="宋体" w:hAnsi="宋体"/>
                <w:kern w:val="0"/>
              </w:rPr>
              <w:t>纯水箱</w:t>
            </w:r>
            <w:r>
              <w:rPr>
                <w:rFonts w:hint="eastAsia" w:ascii="宋体" w:hAnsi="宋体"/>
              </w:rPr>
              <w:t>→</w:t>
            </w:r>
            <w:r>
              <w:rPr>
                <w:rFonts w:hint="eastAsia" w:ascii="宋体" w:hAnsi="宋体"/>
                <w:kern w:val="0"/>
              </w:rPr>
              <w:t>锅炉</w:t>
            </w:r>
            <w:r>
              <w:rPr>
                <w:rFonts w:hint="eastAsia" w:ascii="宋体" w:hAnsi="宋体"/>
              </w:rPr>
              <w:t>→</w:t>
            </w:r>
            <w:r>
              <w:rPr>
                <w:rFonts w:hint="eastAsia" w:ascii="宋体" w:hAnsi="宋体"/>
                <w:kern w:val="0"/>
              </w:rPr>
              <w:t>蒸汽</w:t>
            </w:r>
            <w:r>
              <w:rPr>
                <w:rFonts w:hint="eastAsia" w:ascii="宋体" w:hAnsi="宋体"/>
              </w:rPr>
              <w:t>→</w:t>
            </w:r>
            <w:r>
              <w:rPr>
                <w:rFonts w:hint="eastAsia" w:ascii="宋体" w:hAnsi="宋体"/>
                <w:kern w:val="0"/>
              </w:rPr>
              <w:t>生产车间使用。</w:t>
            </w:r>
          </w:p>
          <w:p>
            <w:pPr>
              <w:adjustRightInd w:val="0"/>
              <w:snapToGrid w:val="0"/>
              <w:spacing w:line="400" w:lineRule="exact"/>
              <w:jc w:val="left"/>
              <w:rPr>
                <w:rFonts w:eastAsia="黑体"/>
                <w:bCs/>
                <w:sz w:val="22"/>
                <w:szCs w:val="22"/>
              </w:rPr>
            </w:pPr>
            <w:r>
              <w:rPr>
                <w:rFonts w:hint="eastAsia" w:eastAsia="黑体"/>
                <w:bCs/>
                <w:sz w:val="22"/>
                <w:szCs w:val="22"/>
              </w:rPr>
              <w:t>5</w:t>
            </w:r>
            <w:r>
              <w:rPr>
                <w:rFonts w:eastAsia="黑体"/>
                <w:bCs/>
                <w:sz w:val="22"/>
                <w:szCs w:val="22"/>
              </w:rPr>
              <w:t>、原辅材料及能源消耗</w:t>
            </w:r>
          </w:p>
          <w:p>
            <w:pPr>
              <w:autoSpaceDE w:val="0"/>
              <w:autoSpaceDN w:val="0"/>
              <w:adjustRightInd w:val="0"/>
              <w:snapToGrid w:val="0"/>
              <w:spacing w:line="400" w:lineRule="exact"/>
              <w:ind w:firstLine="420" w:firstLineChars="200"/>
              <w:jc w:val="left"/>
              <w:rPr>
                <w:kern w:val="0"/>
              </w:rPr>
            </w:pPr>
            <w:r>
              <w:rPr>
                <w:rFonts w:ascii="宋体" w:hAnsi="宋体"/>
                <w:kern w:val="0"/>
              </w:rPr>
              <w:t>本</w:t>
            </w:r>
            <w:r>
              <w:rPr>
                <w:rFonts w:hint="eastAsia" w:ascii="宋体" w:hAnsi="宋体"/>
                <w:kern w:val="0"/>
              </w:rPr>
              <w:t>锅炉运行中消耗的主要为天然气、加热介质水时及软水制备使用的离子树脂等。</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3</w:t>
            </w:r>
            <w:r>
              <w:rPr>
                <w:rFonts w:eastAsia="黑体"/>
                <w:kern w:val="0"/>
                <w:sz w:val="20"/>
                <w:szCs w:val="20"/>
              </w:rPr>
              <w:t xml:space="preserve">   </w:t>
            </w:r>
            <w:r>
              <w:rPr>
                <w:rFonts w:ascii="黑体" w:hAnsi="黑体" w:eastAsia="黑体"/>
                <w:kern w:val="0"/>
                <w:sz w:val="20"/>
                <w:szCs w:val="20"/>
              </w:rPr>
              <w:t>主要原辅材料及能耗情况表</w:t>
            </w:r>
          </w:p>
          <w:tbl>
            <w:tblPr>
              <w:tblStyle w:val="21"/>
              <w:tblW w:w="7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679"/>
              <w:gridCol w:w="1121"/>
              <w:gridCol w:w="1160"/>
              <w:gridCol w:w="176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ind w:left="-71" w:leftChars="-34" w:right="-71" w:rightChars="-34"/>
                    <w:jc w:val="center"/>
                    <w:rPr>
                      <w:b/>
                      <w:bCs/>
                      <w:sz w:val="18"/>
                      <w:szCs w:val="18"/>
                    </w:rPr>
                  </w:pPr>
                  <w:r>
                    <w:rPr>
                      <w:rFonts w:ascii="宋体" w:hAnsi="宋体"/>
                      <w:b/>
                      <w:bCs/>
                      <w:sz w:val="18"/>
                      <w:szCs w:val="18"/>
                    </w:rPr>
                    <w:t>序号</w:t>
                  </w:r>
                </w:p>
              </w:tc>
              <w:tc>
                <w:tcPr>
                  <w:tcW w:w="1679"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
                      <w:bCs/>
                      <w:sz w:val="18"/>
                      <w:szCs w:val="18"/>
                    </w:rPr>
                  </w:pPr>
                  <w:r>
                    <w:rPr>
                      <w:rFonts w:ascii="宋体" w:hAnsi="宋体"/>
                      <w:b/>
                      <w:bCs/>
                      <w:sz w:val="18"/>
                      <w:szCs w:val="18"/>
                    </w:rPr>
                    <w:t>名称</w:t>
                  </w:r>
                </w:p>
              </w:tc>
              <w:tc>
                <w:tcPr>
                  <w:tcW w:w="112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
                      <w:bCs/>
                      <w:sz w:val="18"/>
                      <w:szCs w:val="18"/>
                    </w:rPr>
                  </w:pPr>
                  <w:r>
                    <w:rPr>
                      <w:rFonts w:ascii="宋体" w:hAnsi="宋体"/>
                      <w:b/>
                      <w:bCs/>
                      <w:sz w:val="18"/>
                      <w:szCs w:val="18"/>
                    </w:rPr>
                    <w:t>单位</w:t>
                  </w:r>
                </w:p>
              </w:tc>
              <w:tc>
                <w:tcPr>
                  <w:tcW w:w="1160"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
                      <w:bCs/>
                      <w:sz w:val="18"/>
                      <w:szCs w:val="18"/>
                    </w:rPr>
                  </w:pPr>
                  <w:r>
                    <w:rPr>
                      <w:rFonts w:ascii="宋体" w:hAnsi="宋体"/>
                      <w:b/>
                      <w:bCs/>
                      <w:sz w:val="18"/>
                      <w:szCs w:val="18"/>
                    </w:rPr>
                    <w:t>数量</w:t>
                  </w:r>
                </w:p>
              </w:tc>
              <w:tc>
                <w:tcPr>
                  <w:tcW w:w="1768"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
                      <w:bCs/>
                      <w:sz w:val="18"/>
                      <w:szCs w:val="18"/>
                    </w:rPr>
                  </w:pPr>
                  <w:r>
                    <w:rPr>
                      <w:rFonts w:ascii="宋体" w:hAnsi="宋体"/>
                      <w:b/>
                      <w:bCs/>
                      <w:sz w:val="18"/>
                      <w:szCs w:val="18"/>
                    </w:rPr>
                    <w:t>来源</w:t>
                  </w:r>
                </w:p>
              </w:tc>
              <w:tc>
                <w:tcPr>
                  <w:tcW w:w="85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
                      <w:bCs/>
                      <w:sz w:val="18"/>
                      <w:szCs w:val="18"/>
                    </w:rPr>
                  </w:pPr>
                  <w:r>
                    <w:rPr>
                      <w:rFonts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1</w:t>
                  </w:r>
                </w:p>
              </w:tc>
              <w:tc>
                <w:tcPr>
                  <w:tcW w:w="1679"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Cs/>
                      <w:sz w:val="18"/>
                      <w:szCs w:val="18"/>
                    </w:rPr>
                  </w:pPr>
                  <w:r>
                    <w:rPr>
                      <w:rFonts w:hint="eastAsia" w:ascii="宋体" w:hAnsi="宋体"/>
                      <w:bCs/>
                      <w:sz w:val="18"/>
                      <w:szCs w:val="18"/>
                    </w:rPr>
                    <w:t>天然气</w:t>
                  </w:r>
                </w:p>
              </w:tc>
              <w:tc>
                <w:tcPr>
                  <w:tcW w:w="112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sz w:val="18"/>
                      <w:szCs w:val="18"/>
                    </w:rPr>
                    <w:t>m</w:t>
                  </w:r>
                  <w:r>
                    <w:rPr>
                      <w:rFonts w:hint="eastAsia"/>
                      <w:sz w:val="18"/>
                      <w:szCs w:val="18"/>
                      <w:vertAlign w:val="superscript"/>
                    </w:rPr>
                    <w:t>3</w:t>
                  </w:r>
                  <w:r>
                    <w:rPr>
                      <w:sz w:val="18"/>
                      <w:szCs w:val="18"/>
                    </w:rPr>
                    <w:t>/a</w:t>
                  </w:r>
                </w:p>
              </w:tc>
              <w:tc>
                <w:tcPr>
                  <w:tcW w:w="1160" w:type="dxa"/>
                  <w:tcBorders>
                    <w:top w:val="single" w:color="auto" w:sz="4" w:space="0"/>
                    <w:left w:val="nil"/>
                    <w:bottom w:val="single" w:color="auto" w:sz="4" w:space="0"/>
                    <w:right w:val="single" w:color="auto" w:sz="4" w:space="0"/>
                  </w:tcBorders>
                  <w:vAlign w:val="center"/>
                </w:tcPr>
                <w:p>
                  <w:pPr>
                    <w:widowControl/>
                    <w:autoSpaceDE w:val="0"/>
                    <w:spacing w:line="300" w:lineRule="exact"/>
                    <w:ind w:left="-71" w:leftChars="-34" w:right="-71" w:rightChars="-34"/>
                    <w:jc w:val="center"/>
                    <w:textAlignment w:val="top"/>
                    <w:rPr>
                      <w:kern w:val="0"/>
                      <w:sz w:val="18"/>
                      <w:szCs w:val="18"/>
                    </w:rPr>
                  </w:pPr>
                  <w:r>
                    <w:rPr>
                      <w:kern w:val="0"/>
                      <w:sz w:val="18"/>
                      <w:szCs w:val="18"/>
                    </w:rPr>
                    <w:t>110880</w:t>
                  </w:r>
                </w:p>
              </w:tc>
              <w:tc>
                <w:tcPr>
                  <w:tcW w:w="1768"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ascii="宋体" w:hAnsi="宋体"/>
                      <w:sz w:val="18"/>
                      <w:szCs w:val="18"/>
                    </w:rPr>
                    <w:t>华润燃气</w:t>
                  </w:r>
                </w:p>
              </w:tc>
              <w:tc>
                <w:tcPr>
                  <w:tcW w:w="85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2</w:t>
                  </w:r>
                </w:p>
              </w:tc>
              <w:tc>
                <w:tcPr>
                  <w:tcW w:w="1679"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Cs/>
                      <w:sz w:val="18"/>
                      <w:szCs w:val="18"/>
                    </w:rPr>
                  </w:pPr>
                  <w:r>
                    <w:rPr>
                      <w:rFonts w:hint="eastAsia" w:ascii="宋体" w:hAnsi="宋体"/>
                      <w:bCs/>
                      <w:sz w:val="18"/>
                      <w:szCs w:val="18"/>
                    </w:rPr>
                    <w:t>离子交换树脂</w:t>
                  </w:r>
                </w:p>
              </w:tc>
              <w:tc>
                <w:tcPr>
                  <w:tcW w:w="112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t/a</w:t>
                  </w:r>
                </w:p>
              </w:tc>
              <w:tc>
                <w:tcPr>
                  <w:tcW w:w="1160" w:type="dxa"/>
                  <w:tcBorders>
                    <w:top w:val="single" w:color="auto" w:sz="4" w:space="0"/>
                    <w:left w:val="nil"/>
                    <w:bottom w:val="single" w:color="auto" w:sz="4" w:space="0"/>
                    <w:right w:val="single" w:color="auto" w:sz="4" w:space="0"/>
                  </w:tcBorders>
                  <w:vAlign w:val="center"/>
                </w:tcPr>
                <w:p>
                  <w:pPr>
                    <w:widowControl/>
                    <w:autoSpaceDE w:val="0"/>
                    <w:spacing w:line="300" w:lineRule="exact"/>
                    <w:ind w:left="-71" w:leftChars="-34" w:right="-71" w:rightChars="-34"/>
                    <w:jc w:val="center"/>
                    <w:textAlignment w:val="top"/>
                    <w:rPr>
                      <w:kern w:val="0"/>
                      <w:sz w:val="18"/>
                      <w:szCs w:val="18"/>
                    </w:rPr>
                  </w:pPr>
                  <w:r>
                    <w:rPr>
                      <w:rFonts w:hint="eastAsia"/>
                      <w:kern w:val="0"/>
                      <w:sz w:val="18"/>
                      <w:szCs w:val="18"/>
                    </w:rPr>
                    <w:t>0.1</w:t>
                  </w:r>
                </w:p>
              </w:tc>
              <w:tc>
                <w:tcPr>
                  <w:tcW w:w="1768"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ascii="宋体" w:hAnsi="宋体"/>
                      <w:sz w:val="18"/>
                      <w:szCs w:val="18"/>
                    </w:rPr>
                    <w:t>当地市场</w:t>
                  </w:r>
                </w:p>
              </w:tc>
              <w:tc>
                <w:tcPr>
                  <w:tcW w:w="85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3</w:t>
                  </w:r>
                </w:p>
              </w:tc>
              <w:tc>
                <w:tcPr>
                  <w:tcW w:w="1679"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Cs/>
                      <w:sz w:val="18"/>
                      <w:szCs w:val="18"/>
                    </w:rPr>
                  </w:pPr>
                  <w:r>
                    <w:rPr>
                      <w:rFonts w:hint="eastAsia" w:ascii="宋体" w:hAnsi="宋体"/>
                      <w:bCs/>
                      <w:sz w:val="18"/>
                      <w:szCs w:val="18"/>
                    </w:rPr>
                    <w:t>再生盐</w:t>
                  </w:r>
                </w:p>
              </w:tc>
              <w:tc>
                <w:tcPr>
                  <w:tcW w:w="112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t/a</w:t>
                  </w:r>
                </w:p>
              </w:tc>
              <w:tc>
                <w:tcPr>
                  <w:tcW w:w="1160" w:type="dxa"/>
                  <w:tcBorders>
                    <w:top w:val="single" w:color="auto" w:sz="4" w:space="0"/>
                    <w:left w:val="nil"/>
                    <w:bottom w:val="single" w:color="auto" w:sz="4" w:space="0"/>
                    <w:right w:val="single" w:color="auto" w:sz="4" w:space="0"/>
                  </w:tcBorders>
                  <w:vAlign w:val="center"/>
                </w:tcPr>
                <w:p>
                  <w:pPr>
                    <w:widowControl/>
                    <w:autoSpaceDE w:val="0"/>
                    <w:spacing w:line="300" w:lineRule="exact"/>
                    <w:ind w:left="-71" w:leftChars="-34" w:right="-71" w:rightChars="-34"/>
                    <w:jc w:val="center"/>
                    <w:textAlignment w:val="top"/>
                    <w:rPr>
                      <w:kern w:val="0"/>
                      <w:sz w:val="18"/>
                      <w:szCs w:val="18"/>
                    </w:rPr>
                  </w:pPr>
                  <w:r>
                    <w:rPr>
                      <w:rFonts w:hint="eastAsia"/>
                      <w:kern w:val="0"/>
                      <w:sz w:val="18"/>
                      <w:szCs w:val="18"/>
                    </w:rPr>
                    <w:t>0.864</w:t>
                  </w:r>
                </w:p>
              </w:tc>
              <w:tc>
                <w:tcPr>
                  <w:tcW w:w="1768"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ascii="宋体" w:hAnsi="宋体"/>
                      <w:sz w:val="18"/>
                      <w:szCs w:val="18"/>
                    </w:rPr>
                    <w:t>当地市场</w:t>
                  </w:r>
                </w:p>
              </w:tc>
              <w:tc>
                <w:tcPr>
                  <w:tcW w:w="85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sz w:val="18"/>
                      <w:szCs w:val="18"/>
                    </w:rPr>
                    <w:t>4</w:t>
                  </w:r>
                </w:p>
              </w:tc>
              <w:tc>
                <w:tcPr>
                  <w:tcW w:w="1679"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bCs/>
                      <w:sz w:val="18"/>
                      <w:szCs w:val="18"/>
                    </w:rPr>
                  </w:pPr>
                  <w:r>
                    <w:rPr>
                      <w:rFonts w:hint="eastAsia" w:ascii="宋体" w:hAnsi="宋体"/>
                      <w:bCs/>
                      <w:sz w:val="18"/>
                      <w:szCs w:val="18"/>
                    </w:rPr>
                    <w:t>自来水</w:t>
                  </w:r>
                </w:p>
              </w:tc>
              <w:tc>
                <w:tcPr>
                  <w:tcW w:w="112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t/a</w:t>
                  </w:r>
                </w:p>
              </w:tc>
              <w:tc>
                <w:tcPr>
                  <w:tcW w:w="1160" w:type="dxa"/>
                  <w:tcBorders>
                    <w:top w:val="single" w:color="auto" w:sz="4" w:space="0"/>
                    <w:left w:val="nil"/>
                    <w:bottom w:val="single" w:color="auto" w:sz="4" w:space="0"/>
                    <w:right w:val="single" w:color="auto" w:sz="4" w:space="0"/>
                  </w:tcBorders>
                  <w:vAlign w:val="center"/>
                </w:tcPr>
                <w:p>
                  <w:pPr>
                    <w:widowControl/>
                    <w:autoSpaceDE w:val="0"/>
                    <w:spacing w:line="300" w:lineRule="exact"/>
                    <w:ind w:left="-71" w:leftChars="-34" w:right="-71" w:rightChars="-34"/>
                    <w:jc w:val="center"/>
                    <w:textAlignment w:val="top"/>
                    <w:rPr>
                      <w:kern w:val="0"/>
                      <w:sz w:val="18"/>
                      <w:szCs w:val="18"/>
                    </w:rPr>
                  </w:pPr>
                  <w:r>
                    <w:rPr>
                      <w:rFonts w:hint="eastAsia"/>
                      <w:kern w:val="0"/>
                      <w:sz w:val="18"/>
                      <w:szCs w:val="18"/>
                    </w:rPr>
                    <w:t>1243.8</w:t>
                  </w:r>
                </w:p>
              </w:tc>
              <w:tc>
                <w:tcPr>
                  <w:tcW w:w="1768"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ascii="宋体" w:hAnsi="宋体"/>
                      <w:sz w:val="18"/>
                      <w:szCs w:val="18"/>
                    </w:rPr>
                    <w:t>东岳场镇供水管网</w:t>
                  </w:r>
                </w:p>
              </w:tc>
              <w:tc>
                <w:tcPr>
                  <w:tcW w:w="85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669"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sz w:val="18"/>
                      <w:szCs w:val="18"/>
                    </w:rPr>
                    <w:t>5</w:t>
                  </w:r>
                </w:p>
              </w:tc>
              <w:tc>
                <w:tcPr>
                  <w:tcW w:w="1679"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ascii="宋体" w:hAnsi="宋体"/>
                      <w:sz w:val="18"/>
                      <w:szCs w:val="18"/>
                    </w:rPr>
                    <w:t>电</w:t>
                  </w:r>
                </w:p>
              </w:tc>
              <w:tc>
                <w:tcPr>
                  <w:tcW w:w="112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sz w:val="18"/>
                      <w:szCs w:val="18"/>
                    </w:rPr>
                    <w:t>kw.h/a</w:t>
                  </w:r>
                </w:p>
              </w:tc>
              <w:tc>
                <w:tcPr>
                  <w:tcW w:w="1160"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hint="eastAsia"/>
                      <w:sz w:val="18"/>
                      <w:szCs w:val="18"/>
                    </w:rPr>
                    <w:t>2000</w:t>
                  </w:r>
                </w:p>
              </w:tc>
              <w:tc>
                <w:tcPr>
                  <w:tcW w:w="1768"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r>
                    <w:rPr>
                      <w:rFonts w:ascii="宋体" w:hAnsi="宋体"/>
                      <w:sz w:val="18"/>
                      <w:szCs w:val="18"/>
                    </w:rPr>
                    <w:t>东岳电网</w:t>
                  </w:r>
                </w:p>
              </w:tc>
              <w:tc>
                <w:tcPr>
                  <w:tcW w:w="851" w:type="dxa"/>
                  <w:tcBorders>
                    <w:top w:val="single" w:color="auto" w:sz="4" w:space="0"/>
                    <w:left w:val="nil"/>
                    <w:bottom w:val="single" w:color="auto" w:sz="4" w:space="0"/>
                    <w:right w:val="single" w:color="auto" w:sz="4" w:space="0"/>
                  </w:tcBorders>
                  <w:vAlign w:val="center"/>
                </w:tcPr>
                <w:p>
                  <w:pPr>
                    <w:autoSpaceDE w:val="0"/>
                    <w:spacing w:line="300" w:lineRule="exact"/>
                    <w:ind w:left="-71" w:leftChars="-34" w:right="-71" w:rightChars="-34"/>
                    <w:jc w:val="center"/>
                    <w:rPr>
                      <w:sz w:val="18"/>
                      <w:szCs w:val="18"/>
                    </w:rPr>
                  </w:pPr>
                </w:p>
              </w:tc>
            </w:tr>
          </w:tbl>
          <w:p>
            <w:pPr>
              <w:adjustRightInd w:val="0"/>
              <w:snapToGrid w:val="0"/>
              <w:spacing w:line="400" w:lineRule="exact"/>
              <w:ind w:left="-53" w:leftChars="-25" w:right="-53" w:rightChars="-25" w:firstLine="420" w:firstLineChars="200"/>
              <w:jc w:val="left"/>
              <w:rPr>
                <w:kern w:val="0"/>
                <w:szCs w:val="21"/>
              </w:rPr>
            </w:pPr>
            <w:r>
              <w:rPr>
                <w:rFonts w:hint="eastAsia" w:ascii="宋体" w:hAnsi="宋体"/>
                <w:kern w:val="0"/>
              </w:rPr>
              <w:t>项目新增燃气锅炉燃料为净化天然气，气质符合《天然气》（</w:t>
            </w:r>
            <w:r>
              <w:rPr>
                <w:rFonts w:hint="eastAsia"/>
                <w:kern w:val="0"/>
              </w:rPr>
              <w:t>GB17820-2018</w:t>
            </w:r>
            <w:r>
              <w:rPr>
                <w:rFonts w:hint="eastAsia" w:ascii="宋体" w:hAnsi="宋体"/>
                <w:kern w:val="0"/>
              </w:rPr>
              <w:t>）一类气质标准。</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4</w:t>
            </w:r>
            <w:r>
              <w:rPr>
                <w:rFonts w:eastAsia="黑体"/>
                <w:kern w:val="0"/>
                <w:sz w:val="20"/>
                <w:szCs w:val="20"/>
              </w:rPr>
              <w:t xml:space="preserve">  </w:t>
            </w:r>
            <w:r>
              <w:rPr>
                <w:rFonts w:hint="eastAsia" w:eastAsia="黑体"/>
                <w:kern w:val="0"/>
                <w:sz w:val="20"/>
                <w:szCs w:val="20"/>
              </w:rPr>
              <w:t xml:space="preserve"> </w:t>
            </w:r>
            <w:r>
              <w:rPr>
                <w:rFonts w:hint="eastAsia" w:ascii="黑体" w:hAnsi="黑体" w:eastAsia="黑体"/>
                <w:kern w:val="0"/>
                <w:sz w:val="20"/>
                <w:szCs w:val="20"/>
              </w:rPr>
              <w:t>天然气技术指标</w:t>
            </w:r>
          </w:p>
          <w:tbl>
            <w:tblPr>
              <w:tblStyle w:val="21"/>
              <w:tblW w:w="70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14"/>
              <w:gridCol w:w="1343"/>
              <w:gridCol w:w="13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441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hint="eastAsia" w:ascii="宋体" w:hAnsi="宋体"/>
                      <w:b/>
                      <w:bCs/>
                      <w:sz w:val="18"/>
                      <w:szCs w:val="18"/>
                    </w:rPr>
                    <w:t>项目</w:t>
                  </w:r>
                </w:p>
              </w:tc>
              <w:tc>
                <w:tcPr>
                  <w:tcW w:w="1343"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hint="eastAsia" w:ascii="宋体" w:hAnsi="宋体"/>
                      <w:b/>
                      <w:bCs/>
                      <w:sz w:val="18"/>
                      <w:szCs w:val="18"/>
                    </w:rPr>
                    <w:t>一类</w:t>
                  </w:r>
                </w:p>
              </w:tc>
              <w:tc>
                <w:tcPr>
                  <w:tcW w:w="131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hint="eastAsia" w:ascii="宋体" w:hAnsi="宋体"/>
                      <w:b/>
                      <w:bCs/>
                      <w:sz w:val="18"/>
                      <w:szCs w:val="18"/>
                    </w:rPr>
                    <w:t>二类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441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高位发热量</w:t>
                  </w:r>
                  <w:r>
                    <w:rPr>
                      <w:rFonts w:hint="eastAsia"/>
                      <w:sz w:val="18"/>
                      <w:szCs w:val="18"/>
                      <w:vertAlign w:val="superscript"/>
                    </w:rPr>
                    <w:t>a</w:t>
                  </w:r>
                  <w:r>
                    <w:rPr>
                      <w:rFonts w:hint="eastAsia" w:ascii="宋体" w:hAnsi="宋体"/>
                      <w:sz w:val="18"/>
                      <w:szCs w:val="18"/>
                      <w:vertAlign w:val="superscript"/>
                    </w:rPr>
                    <w:t>、</w:t>
                  </w:r>
                  <w:r>
                    <w:rPr>
                      <w:rFonts w:hint="eastAsia"/>
                      <w:sz w:val="18"/>
                      <w:szCs w:val="18"/>
                      <w:vertAlign w:val="superscript"/>
                    </w:rPr>
                    <w:t>b</w:t>
                  </w:r>
                  <w:r>
                    <w:rPr>
                      <w:rFonts w:hint="eastAsia"/>
                      <w:sz w:val="18"/>
                      <w:szCs w:val="18"/>
                    </w:rPr>
                    <w:t>/</w:t>
                  </w:r>
                  <w:r>
                    <w:rPr>
                      <w:rFonts w:hint="eastAsia" w:ascii="宋体" w:hAnsi="宋体"/>
                      <w:sz w:val="18"/>
                      <w:szCs w:val="18"/>
                    </w:rPr>
                    <w:t>（</w:t>
                  </w:r>
                  <w:r>
                    <w:rPr>
                      <w:rFonts w:hint="eastAsia"/>
                      <w:sz w:val="18"/>
                      <w:szCs w:val="18"/>
                    </w:rPr>
                    <w:t>MJ/m</w:t>
                  </w:r>
                  <w:r>
                    <w:rPr>
                      <w:rFonts w:hint="eastAsia"/>
                      <w:sz w:val="18"/>
                      <w:szCs w:val="18"/>
                      <w:vertAlign w:val="superscript"/>
                    </w:rPr>
                    <w:t>3</w:t>
                  </w:r>
                  <w:r>
                    <w:rPr>
                      <w:rFonts w:hint="eastAsia" w:ascii="宋体" w:hAnsi="宋体"/>
                      <w:sz w:val="18"/>
                      <w:szCs w:val="18"/>
                    </w:rPr>
                    <w:t>）≥</w:t>
                  </w:r>
                </w:p>
              </w:tc>
              <w:tc>
                <w:tcPr>
                  <w:tcW w:w="1343"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34.0</w:t>
                  </w:r>
                </w:p>
              </w:tc>
              <w:tc>
                <w:tcPr>
                  <w:tcW w:w="131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31.4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441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总硫（以硫计）</w:t>
                  </w:r>
                  <w:r>
                    <w:rPr>
                      <w:rFonts w:hint="eastAsia"/>
                      <w:sz w:val="18"/>
                      <w:szCs w:val="18"/>
                      <w:vertAlign w:val="superscript"/>
                    </w:rPr>
                    <w:t>a</w:t>
                  </w:r>
                  <w:r>
                    <w:rPr>
                      <w:rFonts w:hint="eastAsia"/>
                      <w:sz w:val="18"/>
                      <w:szCs w:val="18"/>
                    </w:rPr>
                    <w:t>/</w:t>
                  </w:r>
                  <w:r>
                    <w:rPr>
                      <w:rFonts w:hint="eastAsia" w:ascii="宋体" w:hAnsi="宋体"/>
                      <w:sz w:val="18"/>
                      <w:szCs w:val="18"/>
                    </w:rPr>
                    <w:t>（</w:t>
                  </w:r>
                  <w:r>
                    <w:rPr>
                      <w:rFonts w:hint="eastAsia"/>
                      <w:sz w:val="18"/>
                      <w:szCs w:val="18"/>
                    </w:rPr>
                    <w:t>mg/m</w:t>
                  </w:r>
                  <w:r>
                    <w:rPr>
                      <w:rFonts w:hint="eastAsia"/>
                      <w:sz w:val="18"/>
                      <w:szCs w:val="18"/>
                      <w:vertAlign w:val="superscript"/>
                    </w:rPr>
                    <w:t>3</w:t>
                  </w:r>
                  <w:r>
                    <w:rPr>
                      <w:rFonts w:hint="eastAsia"/>
                      <w:sz w:val="18"/>
                      <w:szCs w:val="18"/>
                    </w:rPr>
                    <w:t>)</w:t>
                  </w:r>
                  <w:r>
                    <w:rPr>
                      <w:rFonts w:hint="eastAsia" w:ascii="宋体" w:hAnsi="宋体"/>
                      <w:sz w:val="18"/>
                      <w:szCs w:val="18"/>
                    </w:rPr>
                    <w:t>）≤</w:t>
                  </w:r>
                </w:p>
              </w:tc>
              <w:tc>
                <w:tcPr>
                  <w:tcW w:w="1343"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20</w:t>
                  </w:r>
                </w:p>
              </w:tc>
              <w:tc>
                <w:tcPr>
                  <w:tcW w:w="131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441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硫化氢</w:t>
                  </w:r>
                  <w:r>
                    <w:rPr>
                      <w:rFonts w:hint="eastAsia"/>
                      <w:sz w:val="18"/>
                      <w:szCs w:val="18"/>
                      <w:vertAlign w:val="superscript"/>
                    </w:rPr>
                    <w:t>a</w:t>
                  </w:r>
                  <w:r>
                    <w:rPr>
                      <w:rFonts w:hint="eastAsia"/>
                      <w:sz w:val="18"/>
                      <w:szCs w:val="18"/>
                    </w:rPr>
                    <w:t>/</w:t>
                  </w:r>
                  <w:r>
                    <w:rPr>
                      <w:rFonts w:hint="eastAsia" w:ascii="宋体" w:hAnsi="宋体"/>
                      <w:sz w:val="18"/>
                      <w:szCs w:val="18"/>
                    </w:rPr>
                    <w:t>（</w:t>
                  </w:r>
                  <w:r>
                    <w:rPr>
                      <w:rFonts w:hint="eastAsia"/>
                      <w:sz w:val="18"/>
                      <w:szCs w:val="18"/>
                    </w:rPr>
                    <w:t>mg/m</w:t>
                  </w:r>
                  <w:r>
                    <w:rPr>
                      <w:rFonts w:hint="eastAsia"/>
                      <w:sz w:val="18"/>
                      <w:szCs w:val="18"/>
                      <w:vertAlign w:val="superscript"/>
                    </w:rPr>
                    <w:t>3</w:t>
                  </w:r>
                  <w:r>
                    <w:rPr>
                      <w:rFonts w:hint="eastAsia" w:ascii="宋体" w:hAnsi="宋体"/>
                      <w:sz w:val="18"/>
                      <w:szCs w:val="18"/>
                    </w:rPr>
                    <w:t>）≤</w:t>
                  </w:r>
                </w:p>
              </w:tc>
              <w:tc>
                <w:tcPr>
                  <w:tcW w:w="1343"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6</w:t>
                  </w:r>
                </w:p>
              </w:tc>
              <w:tc>
                <w:tcPr>
                  <w:tcW w:w="131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441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二氧化碳摩尔分数</w:t>
                  </w:r>
                  <w:r>
                    <w:rPr>
                      <w:rFonts w:hint="eastAsia"/>
                      <w:sz w:val="18"/>
                      <w:szCs w:val="18"/>
                    </w:rPr>
                    <w:t>/%</w:t>
                  </w:r>
                  <w:r>
                    <w:rPr>
                      <w:rFonts w:hint="eastAsia" w:ascii="宋体" w:hAnsi="宋体"/>
                      <w:sz w:val="18"/>
                      <w:szCs w:val="18"/>
                    </w:rPr>
                    <w:t>≤</w:t>
                  </w:r>
                </w:p>
              </w:tc>
              <w:tc>
                <w:tcPr>
                  <w:tcW w:w="1343"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3.0</w:t>
                  </w:r>
                </w:p>
              </w:tc>
              <w:tc>
                <w:tcPr>
                  <w:tcW w:w="131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7067" w:type="dxa"/>
                  <w:gridSpan w:val="3"/>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rPr>
                      <w:sz w:val="18"/>
                      <w:szCs w:val="18"/>
                    </w:rPr>
                  </w:pPr>
                  <w:r>
                    <w:rPr>
                      <w:rFonts w:hint="eastAsia"/>
                      <w:sz w:val="18"/>
                      <w:szCs w:val="18"/>
                    </w:rPr>
                    <w:t xml:space="preserve">a </w:t>
                  </w:r>
                  <w:r>
                    <w:rPr>
                      <w:rFonts w:hint="eastAsia" w:ascii="宋体" w:hAnsi="宋体"/>
                      <w:sz w:val="18"/>
                      <w:szCs w:val="18"/>
                    </w:rPr>
                    <w:t>本标准中使用的标准参比条件是</w:t>
                  </w:r>
                  <w:r>
                    <w:rPr>
                      <w:rFonts w:hint="eastAsia"/>
                      <w:sz w:val="18"/>
                      <w:szCs w:val="18"/>
                    </w:rPr>
                    <w:t>101.325kPa</w:t>
                  </w:r>
                  <w:r>
                    <w:rPr>
                      <w:rFonts w:hint="eastAsia" w:ascii="宋体" w:hAnsi="宋体"/>
                      <w:sz w:val="18"/>
                      <w:szCs w:val="18"/>
                    </w:rPr>
                    <w:t>，</w:t>
                  </w:r>
                  <w:r>
                    <w:rPr>
                      <w:rFonts w:hint="eastAsia"/>
                      <w:sz w:val="18"/>
                      <w:szCs w:val="18"/>
                    </w:rPr>
                    <w:t>20</w:t>
                  </w:r>
                  <w:r>
                    <w:rPr>
                      <w:rFonts w:hint="eastAsia" w:ascii="宋体" w:hAnsi="宋体"/>
                      <w:sz w:val="18"/>
                      <w:szCs w:val="18"/>
                    </w:rPr>
                    <w:t>℃。</w:t>
                  </w:r>
                </w:p>
                <w:p>
                  <w:pPr>
                    <w:autoSpaceDE w:val="0"/>
                    <w:spacing w:line="300" w:lineRule="exact"/>
                    <w:rPr>
                      <w:sz w:val="18"/>
                      <w:szCs w:val="18"/>
                    </w:rPr>
                  </w:pPr>
                  <w:r>
                    <w:rPr>
                      <w:rFonts w:hint="eastAsia"/>
                      <w:sz w:val="18"/>
                      <w:szCs w:val="18"/>
                    </w:rPr>
                    <w:t xml:space="preserve">b </w:t>
                  </w:r>
                  <w:r>
                    <w:rPr>
                      <w:rFonts w:hint="eastAsia" w:ascii="宋体" w:hAnsi="宋体"/>
                      <w:sz w:val="18"/>
                      <w:szCs w:val="18"/>
                    </w:rPr>
                    <w:t>高位发热量以干基计。</w:t>
                  </w:r>
                </w:p>
              </w:tc>
            </w:tr>
          </w:tbl>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6</w:t>
            </w:r>
            <w:r>
              <w:rPr>
                <w:rFonts w:eastAsia="黑体"/>
                <w:bCs/>
                <w:sz w:val="22"/>
                <w:szCs w:val="22"/>
              </w:rPr>
              <w:t>、主要生产设备及参数</w:t>
            </w:r>
          </w:p>
          <w:p>
            <w:pPr>
              <w:autoSpaceDE w:val="0"/>
              <w:autoSpaceDN w:val="0"/>
              <w:adjustRightInd w:val="0"/>
              <w:snapToGrid w:val="0"/>
              <w:spacing w:line="400" w:lineRule="exact"/>
              <w:ind w:firstLine="420" w:firstLineChars="200"/>
              <w:jc w:val="left"/>
              <w:rPr>
                <w:kern w:val="0"/>
              </w:rPr>
            </w:pPr>
            <w:r>
              <w:rPr>
                <w:rFonts w:ascii="宋体" w:hAnsi="宋体"/>
                <w:kern w:val="0"/>
              </w:rPr>
              <w:t>本项目</w:t>
            </w:r>
            <w:r>
              <w:rPr>
                <w:rFonts w:hint="eastAsia" w:ascii="宋体" w:hAnsi="宋体"/>
                <w:kern w:val="0"/>
              </w:rPr>
              <w:t>为锅炉建设，</w:t>
            </w:r>
            <w:r>
              <w:rPr>
                <w:rFonts w:ascii="宋体" w:hAnsi="宋体"/>
                <w:kern w:val="0"/>
              </w:rPr>
              <w:t>主要</w:t>
            </w:r>
            <w:r>
              <w:rPr>
                <w:rFonts w:hint="eastAsia" w:ascii="宋体" w:hAnsi="宋体"/>
                <w:kern w:val="0"/>
              </w:rPr>
              <w:t>设备为锅炉，及其配套的低氮燃烧器、软水设备等。燃气锅炉燃料为净化天然气，气质符合《天然气》（</w:t>
            </w:r>
            <w:r>
              <w:rPr>
                <w:rFonts w:hint="eastAsia"/>
                <w:kern w:val="0"/>
              </w:rPr>
              <w:t>GB17820-2018</w:t>
            </w:r>
            <w:r>
              <w:rPr>
                <w:rFonts w:hint="eastAsia" w:ascii="宋体" w:hAnsi="宋体"/>
                <w:kern w:val="0"/>
              </w:rPr>
              <w:t>）一类气质标准。</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5</w:t>
            </w:r>
            <w:r>
              <w:rPr>
                <w:rFonts w:eastAsia="黑体"/>
                <w:kern w:val="0"/>
                <w:sz w:val="20"/>
                <w:szCs w:val="20"/>
              </w:rPr>
              <w:t xml:space="preserve">  </w:t>
            </w:r>
            <w:r>
              <w:rPr>
                <w:rFonts w:hint="eastAsia" w:eastAsia="黑体"/>
                <w:kern w:val="0"/>
                <w:sz w:val="20"/>
                <w:szCs w:val="20"/>
              </w:rPr>
              <w:t xml:space="preserve"> </w:t>
            </w:r>
            <w:r>
              <w:rPr>
                <w:rFonts w:ascii="黑体" w:hAnsi="黑体" w:eastAsia="黑体"/>
                <w:kern w:val="0"/>
                <w:sz w:val="20"/>
                <w:szCs w:val="20"/>
              </w:rPr>
              <w:t>主要生产设备清单</w:t>
            </w:r>
          </w:p>
          <w:tbl>
            <w:tblPr>
              <w:tblStyle w:val="21"/>
              <w:tblW w:w="76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8"/>
              <w:gridCol w:w="1446"/>
              <w:gridCol w:w="1420"/>
              <w:gridCol w:w="1044"/>
              <w:gridCol w:w="2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958"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ascii="宋体" w:hAnsi="宋体"/>
                      <w:b/>
                      <w:bCs/>
                      <w:sz w:val="18"/>
                      <w:szCs w:val="18"/>
                    </w:rPr>
                    <w:t>序号</w:t>
                  </w:r>
                </w:p>
              </w:tc>
              <w:tc>
                <w:tcPr>
                  <w:tcW w:w="1446"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ascii="宋体" w:hAnsi="宋体"/>
                      <w:b/>
                      <w:bCs/>
                      <w:sz w:val="18"/>
                      <w:szCs w:val="18"/>
                    </w:rPr>
                    <w:t>设备名称</w:t>
                  </w:r>
                </w:p>
              </w:tc>
              <w:tc>
                <w:tcPr>
                  <w:tcW w:w="14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ascii="宋体" w:hAnsi="宋体"/>
                      <w:b/>
                      <w:bCs/>
                      <w:sz w:val="18"/>
                      <w:szCs w:val="18"/>
                    </w:rPr>
                    <w:t>规格</w:t>
                  </w:r>
                </w:p>
              </w:tc>
              <w:tc>
                <w:tcPr>
                  <w:tcW w:w="104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ascii="宋体" w:hAnsi="宋体"/>
                      <w:b/>
                      <w:bCs/>
                      <w:sz w:val="18"/>
                      <w:szCs w:val="18"/>
                    </w:rPr>
                    <w:t>数量</w:t>
                  </w:r>
                </w:p>
              </w:tc>
              <w:tc>
                <w:tcPr>
                  <w:tcW w:w="28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b/>
                      <w:bCs/>
                      <w:sz w:val="18"/>
                      <w:szCs w:val="18"/>
                    </w:rPr>
                  </w:pPr>
                  <w:r>
                    <w:rPr>
                      <w:rFonts w:ascii="宋体" w:hAnsi="宋体"/>
                      <w:b/>
                      <w:bCs/>
                      <w:sz w:val="18"/>
                      <w:szCs w:val="18"/>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958"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sz w:val="18"/>
                      <w:szCs w:val="18"/>
                    </w:rPr>
                    <w:t>1</w:t>
                  </w:r>
                </w:p>
              </w:tc>
              <w:tc>
                <w:tcPr>
                  <w:tcW w:w="1446"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燃气锅炉</w:t>
                  </w:r>
                </w:p>
              </w:tc>
              <w:tc>
                <w:tcPr>
                  <w:tcW w:w="14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LSS-2.0-1.0-Q</w:t>
                  </w:r>
                </w:p>
              </w:tc>
              <w:tc>
                <w:tcPr>
                  <w:tcW w:w="104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1</w:t>
                  </w:r>
                  <w:r>
                    <w:rPr>
                      <w:rFonts w:ascii="宋体" w:hAnsi="宋体"/>
                      <w:sz w:val="18"/>
                      <w:szCs w:val="18"/>
                    </w:rPr>
                    <w:t>台</w:t>
                  </w:r>
                </w:p>
              </w:tc>
              <w:tc>
                <w:tcPr>
                  <w:tcW w:w="28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958"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sz w:val="18"/>
                      <w:szCs w:val="18"/>
                    </w:rPr>
                    <w:t>2</w:t>
                  </w:r>
                </w:p>
              </w:tc>
              <w:tc>
                <w:tcPr>
                  <w:tcW w:w="1446"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低氮燃烧器</w:t>
                  </w:r>
                </w:p>
              </w:tc>
              <w:tc>
                <w:tcPr>
                  <w:tcW w:w="14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ZB-7W+FGR</w:t>
                  </w:r>
                </w:p>
              </w:tc>
              <w:tc>
                <w:tcPr>
                  <w:tcW w:w="104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1</w:t>
                  </w:r>
                  <w:r>
                    <w:rPr>
                      <w:rFonts w:ascii="宋体" w:hAnsi="宋体"/>
                      <w:sz w:val="18"/>
                      <w:szCs w:val="18"/>
                    </w:rPr>
                    <w:t>台</w:t>
                  </w:r>
                </w:p>
              </w:tc>
              <w:tc>
                <w:tcPr>
                  <w:tcW w:w="28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958"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sz w:val="18"/>
                      <w:szCs w:val="18"/>
                    </w:rPr>
                    <w:t>3</w:t>
                  </w:r>
                </w:p>
              </w:tc>
              <w:tc>
                <w:tcPr>
                  <w:tcW w:w="1446"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软水器</w:t>
                  </w:r>
                </w:p>
              </w:tc>
              <w:tc>
                <w:tcPr>
                  <w:tcW w:w="14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MS-100</w:t>
                  </w:r>
                </w:p>
              </w:tc>
              <w:tc>
                <w:tcPr>
                  <w:tcW w:w="104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sz w:val="18"/>
                      <w:szCs w:val="18"/>
                    </w:rPr>
                    <w:t>1</w:t>
                  </w:r>
                  <w:r>
                    <w:rPr>
                      <w:rFonts w:ascii="宋体" w:hAnsi="宋体"/>
                      <w:sz w:val="18"/>
                      <w:szCs w:val="18"/>
                    </w:rPr>
                    <w:t>台</w:t>
                  </w:r>
                </w:p>
              </w:tc>
              <w:tc>
                <w:tcPr>
                  <w:tcW w:w="28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jc w:val="center"/>
              </w:trPr>
              <w:tc>
                <w:tcPr>
                  <w:tcW w:w="958"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sz w:val="18"/>
                      <w:szCs w:val="18"/>
                    </w:rPr>
                    <w:t>4</w:t>
                  </w:r>
                </w:p>
              </w:tc>
              <w:tc>
                <w:tcPr>
                  <w:tcW w:w="1446"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蒸汽管道</w:t>
                  </w:r>
                </w:p>
              </w:tc>
              <w:tc>
                <w:tcPr>
                  <w:tcW w:w="14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p>
              </w:tc>
              <w:tc>
                <w:tcPr>
                  <w:tcW w:w="104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配套安装</w:t>
                  </w:r>
                </w:p>
              </w:tc>
              <w:tc>
                <w:tcPr>
                  <w:tcW w:w="28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含</w:t>
                  </w:r>
                  <w:r>
                    <w:rPr>
                      <w:rFonts w:ascii="宋体" w:hAnsi="宋体"/>
                      <w:sz w:val="18"/>
                      <w:szCs w:val="18"/>
                    </w:rPr>
                    <w:t>调压、计量、阀门等</w:t>
                  </w:r>
                  <w:r>
                    <w:rPr>
                      <w:rFonts w:hint="eastAsia" w:ascii="宋体" w:hAnsi="宋体"/>
                      <w:sz w:val="18"/>
                      <w:szCs w:val="18"/>
                    </w:rPr>
                    <w:t>配套</w:t>
                  </w:r>
                  <w:r>
                    <w:rPr>
                      <w:rFonts w:ascii="宋体" w:hAnsi="宋体"/>
                      <w:sz w:val="18"/>
                      <w:szCs w:val="18"/>
                    </w:rPr>
                    <w:t>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 w:hRule="atLeast"/>
                <w:jc w:val="center"/>
              </w:trPr>
              <w:tc>
                <w:tcPr>
                  <w:tcW w:w="958"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sz w:val="18"/>
                      <w:szCs w:val="18"/>
                    </w:rPr>
                    <w:t>5</w:t>
                  </w:r>
                </w:p>
              </w:tc>
              <w:tc>
                <w:tcPr>
                  <w:tcW w:w="1446"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供水管道</w:t>
                  </w:r>
                </w:p>
              </w:tc>
              <w:tc>
                <w:tcPr>
                  <w:tcW w:w="14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p>
              </w:tc>
              <w:tc>
                <w:tcPr>
                  <w:tcW w:w="1044"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ascii="宋体" w:hAnsi="宋体"/>
                      <w:sz w:val="18"/>
                      <w:szCs w:val="18"/>
                    </w:rPr>
                    <w:t>配套安装</w:t>
                  </w:r>
                </w:p>
              </w:tc>
              <w:tc>
                <w:tcPr>
                  <w:tcW w:w="2820" w:type="dxa"/>
                  <w:tcBorders>
                    <w:top w:val="single" w:color="000000" w:sz="4" w:space="0"/>
                    <w:left w:val="single" w:color="000000" w:sz="4" w:space="0"/>
                    <w:bottom w:val="single" w:color="000000" w:sz="4" w:space="0"/>
                    <w:right w:val="single" w:color="000000" w:sz="4" w:space="0"/>
                  </w:tcBorders>
                  <w:vAlign w:val="center"/>
                </w:tcPr>
                <w:p>
                  <w:pPr>
                    <w:autoSpaceDE w:val="0"/>
                    <w:spacing w:line="300" w:lineRule="exact"/>
                    <w:jc w:val="center"/>
                    <w:rPr>
                      <w:sz w:val="18"/>
                      <w:szCs w:val="18"/>
                    </w:rPr>
                  </w:pPr>
                  <w:r>
                    <w:rPr>
                      <w:rFonts w:hint="eastAsia" w:ascii="宋体" w:hAnsi="宋体"/>
                      <w:sz w:val="18"/>
                      <w:szCs w:val="18"/>
                    </w:rPr>
                    <w:t>含</w:t>
                  </w:r>
                  <w:r>
                    <w:rPr>
                      <w:rFonts w:ascii="宋体" w:hAnsi="宋体"/>
                      <w:sz w:val="18"/>
                      <w:szCs w:val="18"/>
                    </w:rPr>
                    <w:t>调压、计量、阀门等</w:t>
                  </w:r>
                  <w:r>
                    <w:rPr>
                      <w:rFonts w:hint="eastAsia" w:ascii="宋体" w:hAnsi="宋体"/>
                      <w:sz w:val="18"/>
                      <w:szCs w:val="18"/>
                    </w:rPr>
                    <w:t>配套</w:t>
                  </w:r>
                  <w:r>
                    <w:rPr>
                      <w:rFonts w:ascii="宋体" w:hAnsi="宋体"/>
                      <w:sz w:val="18"/>
                      <w:szCs w:val="18"/>
                    </w:rPr>
                    <w:t>设备</w:t>
                  </w:r>
                </w:p>
              </w:tc>
            </w:tr>
          </w:tbl>
          <w:p>
            <w:pPr>
              <w:autoSpaceDE w:val="0"/>
              <w:autoSpaceDN w:val="0"/>
              <w:adjustRightInd w:val="0"/>
              <w:snapToGrid w:val="0"/>
              <w:spacing w:line="400" w:lineRule="exact"/>
              <w:ind w:firstLine="420" w:firstLineChars="200"/>
              <w:jc w:val="left"/>
              <w:rPr>
                <w:kern w:val="0"/>
                <w:szCs w:val="21"/>
              </w:rPr>
            </w:pPr>
            <w:r>
              <w:rPr>
                <w:rFonts w:hint="eastAsia" w:ascii="宋体" w:hAnsi="宋体"/>
                <w:kern w:val="0"/>
              </w:rPr>
              <w:t>项目使用的锅炉详细参数见下表。</w:t>
            </w:r>
          </w:p>
          <w:p>
            <w:pPr>
              <w:autoSpaceDE w:val="0"/>
              <w:autoSpaceDN w:val="0"/>
              <w:adjustRightInd w:val="0"/>
              <w:snapToGrid w:val="0"/>
              <w:spacing w:line="320" w:lineRule="exact"/>
              <w:jc w:val="center"/>
              <w:rPr>
                <w:rFonts w:eastAsia="黑体"/>
                <w:kern w:val="0"/>
                <w:sz w:val="20"/>
                <w:szCs w:val="20"/>
              </w:rPr>
            </w:pPr>
            <w:r>
              <w:rPr>
                <w:rFonts w:eastAsia="黑体"/>
                <w:kern w:val="0"/>
                <w:sz w:val="20"/>
                <w:szCs w:val="20"/>
              </w:rPr>
              <w:t xml:space="preserve"> </w:t>
            </w: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6</w:t>
            </w:r>
            <w:r>
              <w:rPr>
                <w:rFonts w:eastAsia="黑体"/>
                <w:kern w:val="0"/>
                <w:sz w:val="20"/>
                <w:szCs w:val="20"/>
              </w:rPr>
              <w:t xml:space="preserve">  </w:t>
            </w:r>
            <w:r>
              <w:rPr>
                <w:rFonts w:hint="eastAsia" w:eastAsia="黑体"/>
                <w:kern w:val="0"/>
                <w:sz w:val="20"/>
                <w:szCs w:val="20"/>
              </w:rPr>
              <w:t xml:space="preserve"> </w:t>
            </w:r>
            <w:r>
              <w:rPr>
                <w:rFonts w:hint="eastAsia" w:ascii="黑体" w:hAnsi="黑体" w:eastAsia="黑体"/>
                <w:kern w:val="0"/>
                <w:sz w:val="20"/>
                <w:szCs w:val="20"/>
              </w:rPr>
              <w:t>项目使用的锅炉参数</w:t>
            </w:r>
          </w:p>
          <w:tbl>
            <w:tblPr>
              <w:tblStyle w:val="21"/>
              <w:tblW w:w="7649" w:type="dxa"/>
              <w:jc w:val="center"/>
              <w:tblLayout w:type="fixed"/>
              <w:tblCellMar>
                <w:top w:w="0" w:type="dxa"/>
                <w:left w:w="0" w:type="dxa"/>
                <w:bottom w:w="0" w:type="dxa"/>
                <w:right w:w="0" w:type="dxa"/>
              </w:tblCellMar>
            </w:tblPr>
            <w:tblGrid>
              <w:gridCol w:w="603"/>
              <w:gridCol w:w="1076"/>
              <w:gridCol w:w="1470"/>
              <w:gridCol w:w="1253"/>
              <w:gridCol w:w="2625"/>
              <w:gridCol w:w="622"/>
            </w:tblGrid>
            <w:tr>
              <w:tblPrEx>
                <w:tblCellMar>
                  <w:top w:w="0" w:type="dxa"/>
                  <w:left w:w="0" w:type="dxa"/>
                  <w:bottom w:w="0" w:type="dxa"/>
                  <w:right w:w="0" w:type="dxa"/>
                </w:tblCellMar>
              </w:tblPrEx>
              <w:trPr>
                <w:trHeight w:val="15" w:hRule="atLeast"/>
                <w:jc w:val="center"/>
              </w:trPr>
              <w:tc>
                <w:tcPr>
                  <w:tcW w:w="4402" w:type="dxa"/>
                  <w:gridSpan w:val="4"/>
                  <w:tcBorders>
                    <w:top w:val="single" w:color="000000" w:sz="6" w:space="0"/>
                    <w:left w:val="single" w:color="000000" w:sz="6" w:space="0"/>
                    <w:bottom w:val="single" w:color="000000" w:sz="6" w:space="0"/>
                    <w:right w:val="single" w:color="000000" w:sz="6" w:space="0"/>
                  </w:tcBorders>
                  <w:vAlign w:val="center"/>
                </w:tcPr>
                <w:p>
                  <w:pPr>
                    <w:autoSpaceDE w:val="0"/>
                    <w:spacing w:line="300" w:lineRule="exact"/>
                    <w:jc w:val="center"/>
                    <w:rPr>
                      <w:b/>
                      <w:bCs/>
                      <w:sz w:val="18"/>
                      <w:szCs w:val="18"/>
                    </w:rPr>
                  </w:pPr>
                  <w:r>
                    <w:rPr>
                      <w:rFonts w:ascii="宋体" w:hAnsi="宋体"/>
                      <w:b/>
                      <w:bCs/>
                      <w:sz w:val="18"/>
                      <w:szCs w:val="18"/>
                    </w:rPr>
                    <w:t>型</w:t>
                  </w:r>
                  <w:r>
                    <w:rPr>
                      <w:b/>
                      <w:bCs/>
                      <w:sz w:val="18"/>
                      <w:szCs w:val="18"/>
                    </w:rPr>
                    <w:tab/>
                  </w:r>
                  <w:r>
                    <w:rPr>
                      <w:rFonts w:ascii="宋体" w:hAnsi="宋体"/>
                      <w:b/>
                      <w:bCs/>
                      <w:sz w:val="18"/>
                      <w:szCs w:val="18"/>
                    </w:rPr>
                    <w:t>式</w:t>
                  </w:r>
                </w:p>
              </w:tc>
              <w:tc>
                <w:tcPr>
                  <w:tcW w:w="2625" w:type="dxa"/>
                  <w:vMerge w:val="restart"/>
                  <w:tcBorders>
                    <w:top w:val="single" w:color="000000" w:sz="6" w:space="0"/>
                    <w:left w:val="nil"/>
                    <w:bottom w:val="nil"/>
                    <w:right w:val="single" w:color="000000" w:sz="6" w:space="0"/>
                  </w:tcBorders>
                  <w:vAlign w:val="center"/>
                </w:tcPr>
                <w:p>
                  <w:pPr>
                    <w:autoSpaceDE w:val="0"/>
                    <w:spacing w:line="300" w:lineRule="exact"/>
                    <w:jc w:val="center"/>
                    <w:rPr>
                      <w:b/>
                      <w:bCs/>
                      <w:sz w:val="18"/>
                      <w:szCs w:val="18"/>
                    </w:rPr>
                  </w:pPr>
                  <w:r>
                    <w:rPr>
                      <w:b/>
                      <w:bCs/>
                      <w:sz w:val="18"/>
                      <w:szCs w:val="18"/>
                    </w:rPr>
                    <w:t>CZI-2000GSC</w:t>
                  </w:r>
                </w:p>
              </w:tc>
              <w:tc>
                <w:tcPr>
                  <w:tcW w:w="622" w:type="dxa"/>
                  <w:vMerge w:val="restart"/>
                  <w:tcBorders>
                    <w:top w:val="single" w:color="000000" w:sz="6" w:space="0"/>
                    <w:left w:val="nil"/>
                    <w:bottom w:val="nil"/>
                    <w:right w:val="single" w:color="000000" w:sz="6" w:space="0"/>
                  </w:tcBorders>
                  <w:vAlign w:val="center"/>
                </w:tcPr>
                <w:p>
                  <w:pPr>
                    <w:autoSpaceDE w:val="0"/>
                    <w:spacing w:line="300" w:lineRule="exact"/>
                    <w:jc w:val="center"/>
                    <w:rPr>
                      <w:b/>
                      <w:bCs/>
                      <w:sz w:val="18"/>
                      <w:szCs w:val="18"/>
                    </w:rPr>
                  </w:pPr>
                  <w:r>
                    <w:rPr>
                      <w:rFonts w:hint="eastAsia" w:ascii="宋体" w:hAnsi="宋体"/>
                      <w:b/>
                      <w:bCs/>
                      <w:sz w:val="18"/>
                      <w:szCs w:val="18"/>
                    </w:rPr>
                    <w:t>备注</w:t>
                  </w:r>
                </w:p>
              </w:tc>
            </w:tr>
            <w:tr>
              <w:tblPrEx>
                <w:tblCellMar>
                  <w:top w:w="0" w:type="dxa"/>
                  <w:left w:w="0" w:type="dxa"/>
                  <w:bottom w:w="0" w:type="dxa"/>
                  <w:right w:w="0" w:type="dxa"/>
                </w:tblCellMar>
              </w:tblPrEx>
              <w:trPr>
                <w:trHeight w:val="15" w:hRule="atLeast"/>
                <w:jc w:val="center"/>
              </w:trPr>
              <w:tc>
                <w:tcPr>
                  <w:tcW w:w="3149" w:type="dxa"/>
                  <w:gridSpan w:val="3"/>
                  <w:tcBorders>
                    <w:top w:val="single" w:color="000000" w:sz="6" w:space="0"/>
                    <w:left w:val="single" w:color="000000" w:sz="6" w:space="0"/>
                    <w:bottom w:val="single" w:color="000000" w:sz="6" w:space="0"/>
                    <w:right w:val="single" w:color="000000" w:sz="6" w:space="0"/>
                  </w:tcBorders>
                  <w:vAlign w:val="center"/>
                </w:tcPr>
                <w:p>
                  <w:pPr>
                    <w:autoSpaceDE w:val="0"/>
                    <w:spacing w:line="300" w:lineRule="exact"/>
                    <w:jc w:val="center"/>
                    <w:rPr>
                      <w:b/>
                      <w:bCs/>
                      <w:sz w:val="18"/>
                      <w:szCs w:val="18"/>
                    </w:rPr>
                  </w:pPr>
                  <w:r>
                    <w:rPr>
                      <w:rFonts w:ascii="宋体" w:hAnsi="宋体"/>
                      <w:b/>
                      <w:bCs/>
                      <w:sz w:val="18"/>
                      <w:szCs w:val="18"/>
                    </w:rPr>
                    <w:t>项</w:t>
                  </w:r>
                  <w:r>
                    <w:rPr>
                      <w:b/>
                      <w:bCs/>
                      <w:sz w:val="18"/>
                      <w:szCs w:val="18"/>
                    </w:rPr>
                    <w:tab/>
                  </w:r>
                  <w:r>
                    <w:rPr>
                      <w:rFonts w:ascii="宋体" w:hAnsi="宋体"/>
                      <w:b/>
                      <w:bCs/>
                      <w:sz w:val="18"/>
                      <w:szCs w:val="18"/>
                    </w:rPr>
                    <w:t>目</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b/>
                      <w:bCs/>
                      <w:sz w:val="18"/>
                      <w:szCs w:val="18"/>
                    </w:rPr>
                  </w:pPr>
                  <w:r>
                    <w:rPr>
                      <w:rFonts w:ascii="宋体" w:hAnsi="宋体"/>
                      <w:b/>
                      <w:bCs/>
                      <w:sz w:val="18"/>
                      <w:szCs w:val="18"/>
                    </w:rPr>
                    <w:t>单</w:t>
                  </w:r>
                  <w:r>
                    <w:rPr>
                      <w:b/>
                      <w:bCs/>
                      <w:sz w:val="18"/>
                      <w:szCs w:val="18"/>
                    </w:rPr>
                    <w:t xml:space="preserve"> </w:t>
                  </w:r>
                  <w:r>
                    <w:rPr>
                      <w:rFonts w:ascii="宋体" w:hAnsi="宋体"/>
                      <w:b/>
                      <w:bCs/>
                      <w:sz w:val="18"/>
                      <w:szCs w:val="18"/>
                    </w:rPr>
                    <w:t>位</w:t>
                  </w:r>
                </w:p>
              </w:tc>
              <w:tc>
                <w:tcPr>
                  <w:tcW w:w="2625" w:type="dxa"/>
                  <w:vMerge w:val="continue"/>
                  <w:tcBorders>
                    <w:top w:val="single" w:color="000000" w:sz="6" w:space="0"/>
                    <w:left w:val="nil"/>
                    <w:bottom w:val="nil"/>
                    <w:right w:val="single" w:color="000000" w:sz="6" w:space="0"/>
                  </w:tcBorders>
                  <w:vAlign w:val="center"/>
                </w:tcPr>
                <w:p>
                  <w:pPr>
                    <w:widowControl/>
                    <w:spacing w:line="300" w:lineRule="exact"/>
                    <w:jc w:val="left"/>
                    <w:rPr>
                      <w:b/>
                      <w:bCs/>
                      <w:sz w:val="18"/>
                      <w:szCs w:val="18"/>
                    </w:rPr>
                  </w:pPr>
                </w:p>
              </w:tc>
              <w:tc>
                <w:tcPr>
                  <w:tcW w:w="622" w:type="dxa"/>
                  <w:vMerge w:val="continue"/>
                  <w:tcBorders>
                    <w:top w:val="single" w:color="000000" w:sz="6" w:space="0"/>
                    <w:left w:val="nil"/>
                    <w:bottom w:val="nil"/>
                    <w:right w:val="single" w:color="000000" w:sz="6" w:space="0"/>
                  </w:tcBorders>
                  <w:vAlign w:val="center"/>
                </w:tcPr>
                <w:p>
                  <w:pPr>
                    <w:widowControl/>
                    <w:spacing w:line="300" w:lineRule="exact"/>
                    <w:jc w:val="left"/>
                    <w:rPr>
                      <w:b/>
                      <w:bCs/>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nil"/>
                    <w:left w:val="single" w:color="000000" w:sz="6" w:space="0"/>
                    <w:bottom w:val="nil"/>
                    <w:right w:val="single" w:color="000000" w:sz="6" w:space="0"/>
                  </w:tcBorders>
                  <w:vAlign w:val="center"/>
                </w:tcPr>
                <w:p>
                  <w:pPr>
                    <w:autoSpaceDE w:val="0"/>
                    <w:spacing w:line="300" w:lineRule="exact"/>
                    <w:jc w:val="center"/>
                    <w:rPr>
                      <w:rFonts w:ascii="Arial" w:hAnsi="Arial" w:eastAsia="黑体"/>
                      <w:b/>
                      <w:bCs/>
                      <w:sz w:val="28"/>
                      <w:szCs w:val="28"/>
                    </w:rPr>
                  </w:pPr>
                  <w:r>
                    <w:rPr>
                      <w:rFonts w:ascii="宋体" w:hAnsi="宋体"/>
                      <w:sz w:val="18"/>
                      <w:szCs w:val="18"/>
                    </w:rPr>
                    <w:t>本</w:t>
                  </w:r>
                </w:p>
                <w:p>
                  <w:pPr>
                    <w:autoSpaceDE w:val="0"/>
                    <w:spacing w:line="300" w:lineRule="exact"/>
                    <w:jc w:val="center"/>
                    <w:rPr>
                      <w:sz w:val="18"/>
                      <w:szCs w:val="18"/>
                    </w:rPr>
                  </w:pPr>
                  <w:r>
                    <w:rPr>
                      <w:rFonts w:ascii="宋体" w:hAnsi="宋体"/>
                      <w:sz w:val="18"/>
                      <w:szCs w:val="18"/>
                    </w:rPr>
                    <w:t>体</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锅炉类型</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多管式贯流锅炉</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额定压力</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MPa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相当蒸发量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kg/h</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2367</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额定蒸发量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kg/h</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2000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发热量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MW</w:t>
                  </w:r>
                  <w:r>
                    <w:rPr>
                      <w:rFonts w:hint="eastAsia" w:ascii="宋体" w:hAnsi="宋体"/>
                      <w:sz w:val="18"/>
                      <w:szCs w:val="18"/>
                    </w:rPr>
                    <w:t>（</w:t>
                  </w:r>
                  <w:r>
                    <w:rPr>
                      <w:sz w:val="18"/>
                      <w:szCs w:val="18"/>
                    </w:rPr>
                    <w:t>kcal/h</w:t>
                  </w:r>
                  <w:r>
                    <w:rPr>
                      <w:rFonts w:hint="eastAsia" w:ascii="宋体" w:hAnsi="宋体"/>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1.48</w:t>
                  </w:r>
                  <w:r>
                    <w:rPr>
                      <w:rFonts w:hint="eastAsia" w:ascii="宋体" w:hAnsi="宋体"/>
                      <w:sz w:val="18"/>
                      <w:szCs w:val="18"/>
                    </w:rPr>
                    <w:t>（</w:t>
                  </w:r>
                  <w:r>
                    <w:rPr>
                      <w:sz w:val="18"/>
                      <w:szCs w:val="18"/>
                    </w:rPr>
                    <w:t>1276000</w:t>
                  </w:r>
                  <w:r>
                    <w:rPr>
                      <w:rFonts w:hint="eastAsia" w:ascii="宋体" w:hAnsi="宋体"/>
                      <w:sz w:val="18"/>
                      <w:szCs w:val="18"/>
                    </w:rPr>
                    <w:t>）</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锅炉效率</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95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水容积</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L</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265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1076" w:type="dxa"/>
                  <w:tcBorders>
                    <w:top w:val="single" w:color="000000" w:sz="6" w:space="0"/>
                    <w:left w:val="nil"/>
                    <w:bottom w:val="single" w:color="000000" w:sz="6" w:space="0"/>
                    <w:right w:val="single" w:color="000000" w:sz="4" w:space="0"/>
                  </w:tcBorders>
                  <w:vAlign w:val="center"/>
                </w:tcPr>
                <w:p>
                  <w:pPr>
                    <w:autoSpaceDE w:val="0"/>
                    <w:spacing w:line="300" w:lineRule="exact"/>
                    <w:jc w:val="center"/>
                    <w:rPr>
                      <w:sz w:val="18"/>
                      <w:szCs w:val="18"/>
                    </w:rPr>
                  </w:pPr>
                  <w:r>
                    <w:rPr>
                      <w:rFonts w:ascii="宋体" w:hAnsi="宋体"/>
                      <w:sz w:val="18"/>
                      <w:szCs w:val="18"/>
                    </w:rPr>
                    <w:t>燃料消耗量</w:t>
                  </w:r>
                </w:p>
              </w:tc>
              <w:tc>
                <w:tcPr>
                  <w:tcW w:w="1470"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天然气</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Nm</w:t>
                  </w:r>
                  <w:r>
                    <w:rPr>
                      <w:rFonts w:hint="eastAsia"/>
                      <w:sz w:val="18"/>
                      <w:szCs w:val="18"/>
                      <w:vertAlign w:val="superscript"/>
                    </w:rPr>
                    <w:t>3</w:t>
                  </w:r>
                  <w:r>
                    <w:rPr>
                      <w:sz w:val="18"/>
                      <w:szCs w:val="18"/>
                    </w:rPr>
                    <w:t>/h</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154.0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使用电源</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AC380V</w:t>
                  </w:r>
                  <w:r>
                    <w:rPr>
                      <w:sz w:val="18"/>
                      <w:szCs w:val="18"/>
                    </w:rPr>
                    <w:tab/>
                  </w:r>
                  <w:r>
                    <w:rPr>
                      <w:sz w:val="18"/>
                      <w:szCs w:val="18"/>
                    </w:rPr>
                    <w:t>50Hz</w:t>
                  </w:r>
                  <w:r>
                    <w:rPr>
                      <w:sz w:val="18"/>
                      <w:szCs w:val="18"/>
                    </w:rPr>
                    <w:tab/>
                  </w:r>
                  <w:r>
                    <w:rPr>
                      <w:sz w:val="18"/>
                      <w:szCs w:val="18"/>
                    </w:rPr>
                    <w:tab/>
                  </w:r>
                  <w:r>
                    <w:rPr>
                      <w:sz w:val="18"/>
                      <w:szCs w:val="18"/>
                    </w:rPr>
                    <w:t>3</w:t>
                  </w:r>
                  <w:r>
                    <w:rPr>
                      <w:rFonts w:ascii="宋体" w:hAnsi="宋体"/>
                      <w:sz w:val="18"/>
                      <w:szCs w:val="18"/>
                    </w:rPr>
                    <w:t>相</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电源线径</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mm</w:t>
                  </w:r>
                  <w:r>
                    <w:rPr>
                      <w:sz w:val="18"/>
                      <w:szCs w:val="18"/>
                      <w:vertAlign w:val="superscript"/>
                    </w:rPr>
                    <w:t>2</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6.0</w:t>
                  </w:r>
                  <w:r>
                    <w:rPr>
                      <w:rFonts w:ascii="宋体" w:hAnsi="宋体"/>
                      <w:sz w:val="18"/>
                      <w:szCs w:val="18"/>
                    </w:rPr>
                    <w:t>（</w:t>
                  </w:r>
                  <w:r>
                    <w:rPr>
                      <w:sz w:val="18"/>
                      <w:szCs w:val="18"/>
                    </w:rPr>
                    <w:t>YJV</w:t>
                  </w:r>
                  <w:r>
                    <w:rPr>
                      <w:rFonts w:ascii="宋体" w:hAnsi="宋体"/>
                      <w:sz w:val="18"/>
                      <w:szCs w:val="18"/>
                    </w:rPr>
                    <w:t>）</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电源断路器容量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Ａ</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60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设备电功率</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kW</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10.2</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总电容量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kVA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14.8</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产品质量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hint="eastAsia"/>
                      <w:sz w:val="18"/>
                      <w:szCs w:val="18"/>
                    </w:rPr>
                    <w:t>Kg</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3700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锅炉外形尺寸（Ｗ</w:t>
                  </w:r>
                  <w:r>
                    <w:rPr>
                      <w:sz w:val="18"/>
                      <w:szCs w:val="18"/>
                    </w:rPr>
                    <w:t>×</w:t>
                  </w:r>
                  <w:r>
                    <w:rPr>
                      <w:rFonts w:ascii="宋体" w:hAnsi="宋体"/>
                      <w:sz w:val="18"/>
                      <w:szCs w:val="18"/>
                    </w:rPr>
                    <w:t>Ｄ</w:t>
                  </w:r>
                  <w:r>
                    <w:rPr>
                      <w:sz w:val="18"/>
                      <w:szCs w:val="18"/>
                    </w:rPr>
                    <w:t>×</w:t>
                  </w:r>
                  <w:r>
                    <w:rPr>
                      <w:rFonts w:ascii="宋体" w:hAnsi="宋体"/>
                      <w:sz w:val="18"/>
                      <w:szCs w:val="18"/>
                    </w:rPr>
                    <w:t>Ｈ）</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mm</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2035×2660×3590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外包颜色</w:t>
                  </w:r>
                </w:p>
              </w:tc>
              <w:tc>
                <w:tcPr>
                  <w:tcW w:w="1253" w:type="dxa"/>
                  <w:vMerge w:val="restart"/>
                  <w:tcBorders>
                    <w:top w:val="nil"/>
                    <w:left w:val="nil"/>
                    <w:bottom w:val="nil"/>
                    <w:right w:val="single" w:color="000000" w:sz="6" w:space="0"/>
                  </w:tcBorders>
                  <w:vAlign w:val="center"/>
                </w:tcPr>
                <w:p>
                  <w:pPr>
                    <w:autoSpaceDE w:val="0"/>
                    <w:spacing w:line="300" w:lineRule="exact"/>
                    <w:jc w:val="center"/>
                    <w:rPr>
                      <w:sz w:val="18"/>
                      <w:szCs w:val="18"/>
                    </w:rPr>
                  </w:pPr>
                </w:p>
                <w:p>
                  <w:pPr>
                    <w:autoSpaceDE w:val="0"/>
                    <w:spacing w:line="300" w:lineRule="exact"/>
                    <w:jc w:val="center"/>
                    <w:rPr>
                      <w:sz w:val="18"/>
                      <w:szCs w:val="18"/>
                    </w:rPr>
                  </w:pPr>
                  <w:r>
                    <w:rPr>
                      <w:sz w:val="18"/>
                      <w:szCs w:val="18"/>
                    </w:rPr>
                    <w:t>―――</w:t>
                  </w:r>
                </w:p>
              </w:tc>
              <w:tc>
                <w:tcPr>
                  <w:tcW w:w="2625" w:type="dxa"/>
                  <w:vMerge w:val="restart"/>
                  <w:tcBorders>
                    <w:top w:val="nil"/>
                    <w:left w:val="nil"/>
                    <w:bottom w:val="nil"/>
                    <w:right w:val="single" w:color="000000" w:sz="6" w:space="0"/>
                  </w:tcBorders>
                  <w:vAlign w:val="center"/>
                </w:tcPr>
                <w:p>
                  <w:pPr>
                    <w:autoSpaceDE w:val="0"/>
                    <w:spacing w:line="300" w:lineRule="exact"/>
                    <w:jc w:val="center"/>
                    <w:rPr>
                      <w:sz w:val="18"/>
                      <w:szCs w:val="18"/>
                    </w:rPr>
                  </w:pPr>
                </w:p>
                <w:p>
                  <w:pPr>
                    <w:autoSpaceDE w:val="0"/>
                    <w:spacing w:line="300" w:lineRule="exact"/>
                    <w:jc w:val="center"/>
                    <w:rPr>
                      <w:sz w:val="18"/>
                      <w:szCs w:val="18"/>
                    </w:rPr>
                  </w:pPr>
                  <w:r>
                    <w:rPr>
                      <w:rFonts w:ascii="宋体" w:hAnsi="宋体"/>
                      <w:sz w:val="18"/>
                      <w:szCs w:val="18"/>
                    </w:rPr>
                    <w:t>灰色</w:t>
                  </w:r>
                  <w:r>
                    <w:rPr>
                      <w:sz w:val="18"/>
                      <w:szCs w:val="18"/>
                    </w:rPr>
                    <w:t>/</w:t>
                  </w:r>
                  <w:r>
                    <w:rPr>
                      <w:rFonts w:ascii="宋体" w:hAnsi="宋体"/>
                      <w:sz w:val="18"/>
                      <w:szCs w:val="18"/>
                    </w:rPr>
                    <w:t>紫色</w:t>
                  </w:r>
                </w:p>
              </w:tc>
              <w:tc>
                <w:tcPr>
                  <w:tcW w:w="622" w:type="dxa"/>
                  <w:vMerge w:val="restart"/>
                  <w:tcBorders>
                    <w:top w:val="nil"/>
                    <w:left w:val="nil"/>
                    <w:bottom w:val="nil"/>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控制箱颜色</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622"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rFonts w:ascii="宋体" w:hAnsi="宋体"/>
                      <w:sz w:val="18"/>
                      <w:szCs w:val="18"/>
                    </w:rPr>
                  </w:pPr>
                  <w:r>
                    <w:rPr>
                      <w:rFonts w:ascii="宋体" w:hAnsi="宋体"/>
                      <w:sz w:val="18"/>
                      <w:szCs w:val="18"/>
                    </w:rPr>
                    <w:t>连接</w:t>
                  </w:r>
                </w:p>
                <w:p>
                  <w:pPr>
                    <w:autoSpaceDE w:val="0"/>
                    <w:spacing w:line="300" w:lineRule="exact"/>
                    <w:jc w:val="center"/>
                    <w:rPr>
                      <w:sz w:val="18"/>
                      <w:szCs w:val="18"/>
                    </w:rPr>
                  </w:pPr>
                  <w:r>
                    <w:rPr>
                      <w:rFonts w:ascii="宋体" w:hAnsi="宋体"/>
                      <w:sz w:val="18"/>
                      <w:szCs w:val="18"/>
                    </w:rPr>
                    <w:t>口径</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蒸汽出口</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DN</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80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安全阀排汽口</w:t>
                  </w:r>
                </w:p>
              </w:tc>
              <w:tc>
                <w:tcPr>
                  <w:tcW w:w="1253" w:type="dxa"/>
                  <w:vMerge w:val="restart"/>
                  <w:tcBorders>
                    <w:top w:val="nil"/>
                    <w:left w:val="nil"/>
                    <w:bottom w:val="nil"/>
                    <w:right w:val="single" w:color="000000" w:sz="6" w:space="0"/>
                  </w:tcBorders>
                  <w:vAlign w:val="center"/>
                </w:tcPr>
                <w:p>
                  <w:pPr>
                    <w:autoSpaceDE w:val="0"/>
                    <w:spacing w:line="300" w:lineRule="exact"/>
                    <w:jc w:val="center"/>
                    <w:rPr>
                      <w:sz w:val="18"/>
                      <w:szCs w:val="18"/>
                    </w:rPr>
                  </w:pPr>
                </w:p>
                <w:p>
                  <w:pPr>
                    <w:autoSpaceDE w:val="0"/>
                    <w:spacing w:line="300" w:lineRule="exact"/>
                    <w:jc w:val="center"/>
                    <w:rPr>
                      <w:sz w:val="18"/>
                      <w:szCs w:val="18"/>
                    </w:rPr>
                  </w:pPr>
                </w:p>
                <w:p>
                  <w:pPr>
                    <w:autoSpaceDE w:val="0"/>
                    <w:spacing w:line="300" w:lineRule="exact"/>
                    <w:jc w:val="center"/>
                    <w:rPr>
                      <w:sz w:val="18"/>
                      <w:szCs w:val="18"/>
                    </w:rPr>
                  </w:pPr>
                  <w:r>
                    <w:rPr>
                      <w:sz w:val="18"/>
                      <w:szCs w:val="18"/>
                    </w:rPr>
                    <w:t>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50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给水入口</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40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炉体排污口</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燃料入口</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DN</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50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检查口</w:t>
                  </w:r>
                </w:p>
              </w:tc>
              <w:tc>
                <w:tcPr>
                  <w:tcW w:w="1253" w:type="dxa"/>
                  <w:vMerge w:val="restart"/>
                  <w:tcBorders>
                    <w:top w:val="nil"/>
                    <w:left w:val="nil"/>
                    <w:bottom w:val="nil"/>
                    <w:right w:val="single" w:color="000000" w:sz="6" w:space="0"/>
                  </w:tcBorders>
                  <w:vAlign w:val="center"/>
                </w:tcPr>
                <w:p>
                  <w:pPr>
                    <w:autoSpaceDE w:val="0"/>
                    <w:spacing w:line="300" w:lineRule="exact"/>
                    <w:jc w:val="center"/>
                    <w:rPr>
                      <w:sz w:val="18"/>
                      <w:szCs w:val="18"/>
                    </w:rPr>
                  </w:pPr>
                  <w:r>
                    <w:rPr>
                      <w:sz w:val="18"/>
                      <w:szCs w:val="18"/>
                    </w:rPr>
                    <w:t>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50/DN65(</w:t>
                  </w:r>
                  <w:r>
                    <w:rPr>
                      <w:rFonts w:ascii="宋体" w:hAnsi="宋体"/>
                      <w:sz w:val="18"/>
                      <w:szCs w:val="18"/>
                    </w:rPr>
                    <w:t>法兰式</w:t>
                  </w:r>
                  <w:r>
                    <w:rPr>
                      <w:sz w:val="18"/>
                      <w:szCs w:val="18"/>
                    </w:rPr>
                    <w:t>)</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浓缩排污口</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水位计排污口</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排烟口</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φmm</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475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燃烧器</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型式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强制送风炉内扩散燃烧方式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点火方式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高压电火花点火方式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燃烧检测方式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紫外线光电管</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燃烧控制方式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三位置控制方式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燃烧器附属品</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主燃气阀</w:t>
                  </w:r>
                </w:p>
              </w:tc>
              <w:tc>
                <w:tcPr>
                  <w:tcW w:w="1253" w:type="dxa"/>
                  <w:vMerge w:val="restart"/>
                  <w:tcBorders>
                    <w:top w:val="nil"/>
                    <w:left w:val="nil"/>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Ａ</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40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主燃气调压阀</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nil"/>
                    <w:right w:val="single" w:color="000000" w:sz="6" w:space="0"/>
                  </w:tcBorders>
                  <w:vAlign w:val="center"/>
                </w:tcPr>
                <w:p>
                  <w:pPr>
                    <w:autoSpaceDE w:val="0"/>
                    <w:spacing w:line="300" w:lineRule="exact"/>
                    <w:jc w:val="center"/>
                    <w:rPr>
                      <w:sz w:val="18"/>
                      <w:szCs w:val="18"/>
                    </w:rPr>
                  </w:pPr>
                  <w:r>
                    <w:rPr>
                      <w:sz w:val="18"/>
                      <w:szCs w:val="18"/>
                    </w:rPr>
                    <w:t>50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1076" w:type="dxa"/>
                  <w:vMerge w:val="restart"/>
                  <w:tcBorders>
                    <w:top w:val="nil"/>
                    <w:left w:val="nil"/>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电磁阀</w:t>
                  </w:r>
                </w:p>
              </w:tc>
              <w:tc>
                <w:tcPr>
                  <w:tcW w:w="1470"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高燃</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40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1076"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1470" w:type="dxa"/>
                  <w:tcBorders>
                    <w:top w:val="single" w:color="000000" w:sz="6" w:space="0"/>
                    <w:left w:val="nil"/>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低燃</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无</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主燃气电磁阀（切断）</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50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燃气过滤器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DN</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50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点火燃气阀</w:t>
                  </w:r>
                </w:p>
              </w:tc>
              <w:tc>
                <w:tcPr>
                  <w:tcW w:w="1253" w:type="dxa"/>
                  <w:vMerge w:val="restart"/>
                  <w:tcBorders>
                    <w:top w:val="nil"/>
                    <w:left w:val="nil"/>
                    <w:bottom w:val="nil"/>
                    <w:right w:val="single" w:color="000000" w:sz="6" w:space="0"/>
                  </w:tcBorders>
                  <w:vAlign w:val="center"/>
                </w:tcPr>
                <w:p>
                  <w:pPr>
                    <w:autoSpaceDE w:val="0"/>
                    <w:spacing w:line="300" w:lineRule="exact"/>
                    <w:jc w:val="center"/>
                    <w:rPr>
                      <w:sz w:val="18"/>
                      <w:szCs w:val="18"/>
                    </w:rPr>
                  </w:pPr>
                  <w:r>
                    <w:rPr>
                      <w:sz w:val="18"/>
                      <w:szCs w:val="18"/>
                    </w:rPr>
                    <w:t>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点火燃气电磁阀</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点火空气流量调节阀</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点火燃气调压阀</w:t>
                  </w:r>
                </w:p>
              </w:tc>
              <w:tc>
                <w:tcPr>
                  <w:tcW w:w="1253"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15</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微压表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MPa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0.1</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压力开关</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隔膜式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点火变压器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7kV/200V</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风量调节装置</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电机驱动型</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送风机</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型式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单级涡轮式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风量（</w:t>
                  </w:r>
                  <w:r>
                    <w:rPr>
                      <w:sz w:val="18"/>
                      <w:szCs w:val="18"/>
                    </w:rPr>
                    <w:t>35℃</w:t>
                  </w:r>
                  <w:r>
                    <w:rPr>
                      <w:rFonts w:ascii="宋体" w:hAnsi="宋体"/>
                      <w:sz w:val="18"/>
                      <w:szCs w:val="18"/>
                    </w:rPr>
                    <w:t>）</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w:t>
                  </w:r>
                  <w:r>
                    <w:rPr>
                      <w:sz w:val="18"/>
                      <w:szCs w:val="18"/>
                      <w:vertAlign w:val="superscript"/>
                    </w:rPr>
                    <w:t>3</w:t>
                  </w:r>
                  <w:r>
                    <w:rPr>
                      <w:sz w:val="18"/>
                      <w:szCs w:val="18"/>
                    </w:rPr>
                    <w:t>/min</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37.2</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电机输出功率</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kW</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7.0</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本体附属品</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蒸汽压力开关</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波纹管式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蒸汽压力传感器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半导体方式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蒸汽温控器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热敏簧片开关式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风压开关</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隔膜式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蒸汽压力表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MPa</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2.5(</w:t>
                  </w:r>
                  <w:r>
                    <w:rPr>
                      <w:rFonts w:ascii="宋体" w:hAnsi="宋体"/>
                      <w:sz w:val="18"/>
                      <w:szCs w:val="18"/>
                    </w:rPr>
                    <w:t>弹簧管式</w:t>
                  </w:r>
                  <w:r>
                    <w:rPr>
                      <w:sz w:val="18"/>
                      <w:szCs w:val="18"/>
                    </w:rPr>
                    <w:t>)</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过热温控器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带保护管的热电偶</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水垢监视器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带保护管的热电偶</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排烟温度传感器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带保护管的热电偶</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给水温度传感器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带保护管的热电偶</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浓缩报警装置</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导电率方式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二连水位控制装置</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电极式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给水泵</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型式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多级离心式</w:t>
                  </w:r>
                </w:p>
              </w:tc>
              <w:tc>
                <w:tcPr>
                  <w:tcW w:w="622" w:type="dxa"/>
                  <w:vMerge w:val="restart"/>
                  <w:tcBorders>
                    <w:top w:val="nil"/>
                    <w:left w:val="nil"/>
                    <w:bottom w:val="nil"/>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流量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L/h</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5750</w:t>
                  </w:r>
                </w:p>
              </w:tc>
              <w:tc>
                <w:tcPr>
                  <w:tcW w:w="622"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电机输出功率</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kW</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3.0</w:t>
                  </w:r>
                </w:p>
              </w:tc>
              <w:tc>
                <w:tcPr>
                  <w:tcW w:w="622"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nil"/>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必需汽蚀余量（</w:t>
                  </w:r>
                  <w:r>
                    <w:rPr>
                      <w:sz w:val="18"/>
                      <w:szCs w:val="18"/>
                    </w:rPr>
                    <w:t>NPSH</w:t>
                  </w:r>
                  <w:r>
                    <w:rPr>
                      <w:rFonts w:ascii="宋体" w:hAnsi="宋体"/>
                      <w:sz w:val="18"/>
                      <w:szCs w:val="18"/>
                    </w:rPr>
                    <w:t>）</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m</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2.6</w:t>
                  </w:r>
                </w:p>
              </w:tc>
              <w:tc>
                <w:tcPr>
                  <w:tcW w:w="622" w:type="dxa"/>
                  <w:vMerge w:val="continue"/>
                  <w:tcBorders>
                    <w:top w:val="nil"/>
                    <w:left w:val="nil"/>
                    <w:bottom w:val="nil"/>
                    <w:right w:val="single" w:color="000000" w:sz="6" w:space="0"/>
                  </w:tcBorders>
                  <w:vAlign w:val="center"/>
                </w:tcPr>
                <w:p>
                  <w:pPr>
                    <w:widowControl/>
                    <w:spacing w:line="300" w:lineRule="exact"/>
                    <w:jc w:val="left"/>
                    <w:rPr>
                      <w:sz w:val="18"/>
                      <w:szCs w:val="18"/>
                    </w:rPr>
                  </w:pPr>
                </w:p>
              </w:tc>
            </w:tr>
            <w:tr>
              <w:tblPrEx>
                <w:tblCellMar>
                  <w:top w:w="0" w:type="dxa"/>
                  <w:left w:w="0" w:type="dxa"/>
                  <w:bottom w:w="0" w:type="dxa"/>
                  <w:right w:w="0" w:type="dxa"/>
                </w:tblCellMar>
              </w:tblPrEx>
              <w:trPr>
                <w:trHeight w:val="15" w:hRule="atLeast"/>
                <w:jc w:val="center"/>
              </w:trPr>
              <w:tc>
                <w:tcPr>
                  <w:tcW w:w="603" w:type="dxa"/>
                  <w:vMerge w:val="restart"/>
                  <w:tcBorders>
                    <w:top w:val="single" w:color="000000" w:sz="4" w:space="0"/>
                    <w:left w:val="single" w:color="000000" w:sz="6" w:space="0"/>
                    <w:bottom w:val="nil"/>
                    <w:right w:val="single" w:color="000000" w:sz="6" w:space="0"/>
                  </w:tcBorders>
                  <w:vAlign w:val="center"/>
                </w:tcPr>
                <w:p>
                  <w:pPr>
                    <w:autoSpaceDE w:val="0"/>
                    <w:spacing w:line="300" w:lineRule="exact"/>
                    <w:jc w:val="center"/>
                    <w:rPr>
                      <w:sz w:val="18"/>
                      <w:szCs w:val="18"/>
                    </w:rPr>
                  </w:pPr>
                  <w:r>
                    <w:rPr>
                      <w:rFonts w:ascii="宋体" w:hAnsi="宋体"/>
                      <w:sz w:val="18"/>
                      <w:szCs w:val="18"/>
                    </w:rPr>
                    <w:t>节能器</w:t>
                  </w: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型式</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螺旋翅片管式</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r>
              <w:tblPrEx>
                <w:tblCellMar>
                  <w:top w:w="0" w:type="dxa"/>
                  <w:left w:w="0" w:type="dxa"/>
                  <w:bottom w:w="0" w:type="dxa"/>
                  <w:right w:w="0" w:type="dxa"/>
                </w:tblCellMar>
              </w:tblPrEx>
              <w:trPr>
                <w:trHeight w:val="15" w:hRule="atLeast"/>
                <w:jc w:val="center"/>
              </w:trPr>
              <w:tc>
                <w:tcPr>
                  <w:tcW w:w="603" w:type="dxa"/>
                  <w:vMerge w:val="continue"/>
                  <w:tcBorders>
                    <w:top w:val="nil"/>
                    <w:left w:val="single" w:color="000000" w:sz="6" w:space="0"/>
                    <w:bottom w:val="single" w:color="000000" w:sz="4" w:space="0"/>
                    <w:right w:val="single" w:color="000000" w:sz="6" w:space="0"/>
                  </w:tcBorders>
                  <w:vAlign w:val="center"/>
                </w:tcPr>
                <w:p>
                  <w:pPr>
                    <w:widowControl/>
                    <w:spacing w:line="300" w:lineRule="exact"/>
                    <w:jc w:val="left"/>
                    <w:rPr>
                      <w:sz w:val="18"/>
                      <w:szCs w:val="18"/>
                    </w:rPr>
                  </w:pPr>
                </w:p>
              </w:tc>
              <w:tc>
                <w:tcPr>
                  <w:tcW w:w="2546" w:type="dxa"/>
                  <w:gridSpan w:val="2"/>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材质</w:t>
                  </w:r>
                </w:p>
              </w:tc>
              <w:tc>
                <w:tcPr>
                  <w:tcW w:w="1253"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sz w:val="18"/>
                      <w:szCs w:val="18"/>
                    </w:rPr>
                    <w:t>―――</w:t>
                  </w:r>
                </w:p>
              </w:tc>
              <w:tc>
                <w:tcPr>
                  <w:tcW w:w="2625" w:type="dxa"/>
                  <w:tcBorders>
                    <w:top w:val="single" w:color="000000" w:sz="6" w:space="0"/>
                    <w:left w:val="nil"/>
                    <w:bottom w:val="single" w:color="000000" w:sz="6" w:space="0"/>
                    <w:right w:val="single" w:color="000000" w:sz="6" w:space="0"/>
                  </w:tcBorders>
                  <w:vAlign w:val="center"/>
                </w:tcPr>
                <w:p>
                  <w:pPr>
                    <w:autoSpaceDE w:val="0"/>
                    <w:spacing w:line="300" w:lineRule="exact"/>
                    <w:jc w:val="center"/>
                    <w:rPr>
                      <w:sz w:val="18"/>
                      <w:szCs w:val="18"/>
                    </w:rPr>
                  </w:pPr>
                  <w:r>
                    <w:rPr>
                      <w:rFonts w:ascii="宋体" w:hAnsi="宋体"/>
                      <w:sz w:val="18"/>
                      <w:szCs w:val="18"/>
                    </w:rPr>
                    <w:t>特殊耐腐蚀性金属</w:t>
                  </w:r>
                </w:p>
              </w:tc>
              <w:tc>
                <w:tcPr>
                  <w:tcW w:w="622" w:type="dxa"/>
                  <w:tcBorders>
                    <w:top w:val="single" w:color="000000" w:sz="6" w:space="0"/>
                    <w:left w:val="nil"/>
                    <w:bottom w:val="single" w:color="000000" w:sz="6" w:space="0"/>
                    <w:right w:val="single" w:color="000000" w:sz="6" w:space="0"/>
                  </w:tcBorders>
                </w:tcPr>
                <w:p>
                  <w:pPr>
                    <w:autoSpaceDE w:val="0"/>
                    <w:spacing w:line="300" w:lineRule="exact"/>
                    <w:jc w:val="center"/>
                    <w:rPr>
                      <w:sz w:val="18"/>
                      <w:szCs w:val="18"/>
                    </w:rPr>
                  </w:pPr>
                </w:p>
              </w:tc>
            </w:tr>
          </w:tbl>
          <w:p>
            <w:pPr>
              <w:autoSpaceDE w:val="0"/>
              <w:autoSpaceDN w:val="0"/>
              <w:adjustRightInd w:val="0"/>
              <w:snapToGrid w:val="0"/>
              <w:spacing w:line="400" w:lineRule="exact"/>
              <w:ind w:firstLine="420" w:firstLineChars="200"/>
              <w:jc w:val="left"/>
              <w:rPr>
                <w:kern w:val="0"/>
                <w:szCs w:val="21"/>
              </w:rPr>
            </w:pPr>
            <w:r>
              <w:rPr>
                <w:rFonts w:hint="eastAsia" w:ascii="宋体" w:hAnsi="宋体"/>
                <w:kern w:val="0"/>
              </w:rPr>
              <w:t>项目锅炉配套的低氮燃烧装置详细参数见下表。</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7</w:t>
            </w:r>
            <w:r>
              <w:rPr>
                <w:rFonts w:eastAsia="黑体"/>
                <w:kern w:val="0"/>
                <w:sz w:val="20"/>
                <w:szCs w:val="20"/>
              </w:rPr>
              <w:t xml:space="preserve">  </w:t>
            </w:r>
            <w:r>
              <w:rPr>
                <w:rFonts w:hint="eastAsia" w:eastAsia="黑体"/>
                <w:kern w:val="0"/>
                <w:sz w:val="20"/>
                <w:szCs w:val="20"/>
              </w:rPr>
              <w:t xml:space="preserve"> </w:t>
            </w:r>
            <w:r>
              <w:rPr>
                <w:rFonts w:hint="eastAsia" w:ascii="黑体" w:hAnsi="黑体" w:eastAsia="黑体"/>
                <w:kern w:val="0"/>
                <w:sz w:val="20"/>
                <w:szCs w:val="20"/>
              </w:rPr>
              <w:t>项目锅炉配套的低氮燃烧装置参数</w:t>
            </w:r>
          </w:p>
          <w:tbl>
            <w:tblPr>
              <w:tblStyle w:val="21"/>
              <w:tblW w:w="7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4"/>
              <w:gridCol w:w="1693"/>
              <w:gridCol w:w="517"/>
              <w:gridCol w:w="1807"/>
              <w:gridCol w:w="394"/>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7887" w:type="dxa"/>
                  <w:gridSpan w:val="6"/>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b/>
                      <w:bCs/>
                      <w:sz w:val="18"/>
                      <w:szCs w:val="18"/>
                    </w:rPr>
                    <w:t>燃烧器基本情况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燃烧器名称</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低氮燃烧器</w:t>
                  </w:r>
                </w:p>
              </w:tc>
              <w:tc>
                <w:tcPr>
                  <w:tcW w:w="1807"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燃烧器型号</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ZB-7</w:t>
                  </w:r>
                  <w:r>
                    <w:rPr>
                      <w:rFonts w:hint="eastAsia"/>
                      <w:sz w:val="18"/>
                      <w:szCs w:val="18"/>
                    </w:rPr>
                    <w:t>W</w:t>
                  </w:r>
                  <w:r>
                    <w:rPr>
                      <w:sz w:val="18"/>
                      <w:szCs w:val="18"/>
                    </w:rPr>
                    <w:t>+FGR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燃烧器类别</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口燃油</w:t>
                  </w:r>
                  <w:r>
                    <w:rPr>
                      <w:sz w:val="18"/>
                      <w:szCs w:val="18"/>
                    </w:rPr>
                    <w:t xml:space="preserve"> </w:t>
                  </w:r>
                  <w:r>
                    <w:rPr>
                      <w:rFonts w:ascii="Wingdings" w:hAnsi="Wingdings"/>
                      <w:sz w:val="18"/>
                      <w:szCs w:val="18"/>
                    </w:rPr>
                    <w:t></w:t>
                  </w:r>
                  <w:r>
                    <w:rPr>
                      <w:rFonts w:ascii="宋体" w:hAnsi="宋体"/>
                      <w:sz w:val="18"/>
                      <w:szCs w:val="18"/>
                    </w:rPr>
                    <w:t>燃气</w:t>
                  </w:r>
                  <w:r>
                    <w:rPr>
                      <w:sz w:val="18"/>
                      <w:szCs w:val="18"/>
                    </w:rPr>
                    <w:t xml:space="preserve"> </w:t>
                  </w:r>
                  <w:r>
                    <w:rPr>
                      <w:rFonts w:ascii="宋体" w:hAnsi="宋体"/>
                      <w:sz w:val="18"/>
                      <w:szCs w:val="18"/>
                    </w:rPr>
                    <w:t>口</w:t>
                  </w:r>
                  <w:r>
                    <w:rPr>
                      <w:rFonts w:hint="eastAsia" w:ascii="宋体" w:hAnsi="宋体"/>
                      <w:sz w:val="18"/>
                      <w:szCs w:val="18"/>
                    </w:rPr>
                    <w:t>油气两用</w:t>
                  </w:r>
                </w:p>
              </w:tc>
              <w:tc>
                <w:tcPr>
                  <w:tcW w:w="1807"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供气／供油压力</w:t>
                  </w:r>
                </w:p>
                <w:p>
                  <w:pPr>
                    <w:autoSpaceDE w:val="0"/>
                    <w:spacing w:line="300" w:lineRule="exact"/>
                    <w:jc w:val="center"/>
                    <w:rPr>
                      <w:sz w:val="18"/>
                      <w:szCs w:val="18"/>
                    </w:rPr>
                  </w:pPr>
                  <w:r>
                    <w:rPr>
                      <w:rFonts w:ascii="宋体" w:hAnsi="宋体"/>
                      <w:sz w:val="18"/>
                      <w:szCs w:val="18"/>
                    </w:rPr>
                    <w:t>（或范围</w:t>
                  </w:r>
                  <w:r>
                    <w:rPr>
                      <w:rFonts w:hint="eastAsia" w:ascii="宋体" w:hAnsi="宋体"/>
                      <w:sz w:val="18"/>
                      <w:szCs w:val="18"/>
                    </w:rPr>
                    <w:t>）</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20</w:t>
                  </w:r>
                  <w:r>
                    <w:rPr>
                      <w:rFonts w:hint="eastAsia"/>
                      <w:sz w:val="18"/>
                      <w:szCs w:val="18"/>
                    </w:rPr>
                    <w:t>~</w:t>
                  </w:r>
                  <w:r>
                    <w:rPr>
                      <w:sz w:val="18"/>
                      <w:szCs w:val="18"/>
                    </w:rPr>
                    <w:t>60kPa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调节方式</w:t>
                  </w:r>
                </w:p>
              </w:tc>
              <w:tc>
                <w:tcPr>
                  <w:tcW w:w="6073" w:type="dxa"/>
                  <w:gridSpan w:val="5"/>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口单级</w:t>
                  </w:r>
                  <w:r>
                    <w:rPr>
                      <w:sz w:val="18"/>
                      <w:szCs w:val="18"/>
                    </w:rPr>
                    <w:t xml:space="preserve"> </w:t>
                  </w:r>
                  <w:r>
                    <w:rPr>
                      <w:rFonts w:ascii="Wingdings" w:hAnsi="Wingdings"/>
                      <w:sz w:val="18"/>
                      <w:szCs w:val="18"/>
                    </w:rPr>
                    <w:t></w:t>
                  </w:r>
                  <w:r>
                    <w:rPr>
                      <w:rFonts w:ascii="宋体" w:hAnsi="宋体"/>
                      <w:sz w:val="18"/>
                      <w:szCs w:val="18"/>
                    </w:rPr>
                    <w:t>两（多）级调节（调节比</w:t>
                  </w:r>
                  <w:r>
                    <w:rPr>
                      <w:sz w:val="18"/>
                      <w:szCs w:val="18"/>
                    </w:rPr>
                    <w:t>1</w:t>
                  </w:r>
                  <w:r>
                    <w:rPr>
                      <w:rFonts w:hint="eastAsia"/>
                      <w:sz w:val="18"/>
                      <w:szCs w:val="18"/>
                    </w:rPr>
                    <w:t>:</w:t>
                  </w:r>
                  <w:r>
                    <w:rPr>
                      <w:sz w:val="18"/>
                      <w:szCs w:val="18"/>
                    </w:rPr>
                    <w:t>2</w:t>
                  </w:r>
                  <w:r>
                    <w:rPr>
                      <w:rFonts w:ascii="宋体" w:hAnsi="宋体"/>
                      <w:sz w:val="18"/>
                      <w:szCs w:val="18"/>
                    </w:rPr>
                    <w:t>） 口连续（</w:t>
                  </w:r>
                  <w:r>
                    <w:rPr>
                      <w:sz w:val="18"/>
                      <w:szCs w:val="18"/>
                    </w:rPr>
                    <w:tab/>
                  </w:r>
                  <w:r>
                    <w:rPr>
                      <w:rFonts w:ascii="宋体" w:hAnsi="宋体"/>
                      <w:sz w:val="18"/>
                      <w:szCs w:val="18"/>
                    </w:rPr>
                    <w:t>口机械</w:t>
                  </w:r>
                  <w:r>
                    <w:rPr>
                      <w:sz w:val="18"/>
                      <w:szCs w:val="18"/>
                    </w:rPr>
                    <w:t xml:space="preserve"> </w:t>
                  </w:r>
                  <w:r>
                    <w:rPr>
                      <w:rFonts w:ascii="宋体" w:hAnsi="宋体"/>
                      <w:sz w:val="18"/>
                      <w:szCs w:val="18"/>
                    </w:rPr>
                    <w:t>口电子）调</w:t>
                  </w:r>
                </w:p>
                <w:p>
                  <w:pPr>
                    <w:autoSpaceDE w:val="0"/>
                    <w:spacing w:line="300" w:lineRule="exact"/>
                    <w:jc w:val="center"/>
                    <w:rPr>
                      <w:sz w:val="18"/>
                      <w:szCs w:val="18"/>
                    </w:rPr>
                  </w:pPr>
                  <w:r>
                    <w:rPr>
                      <w:rFonts w:ascii="宋体" w:hAnsi="宋体"/>
                      <w:sz w:val="18"/>
                      <w:szCs w:val="18"/>
                    </w:rPr>
                    <w:t>节（调节比</w:t>
                  </w:r>
                  <w:r>
                    <w:rPr>
                      <w:sz w:val="18"/>
                      <w:szCs w:val="18"/>
                    </w:rPr>
                    <w:t xml:space="preserve">  </w:t>
                  </w:r>
                  <w:r>
                    <w:rPr>
                      <w:rFonts w:hint="eastAsia"/>
                      <w:sz w:val="18"/>
                      <w:szCs w:val="18"/>
                    </w:rPr>
                    <w:t xml:space="preserve">/ : / </w:t>
                  </w:r>
                  <w:r>
                    <w:rPr>
                      <w:rFonts w:hint="eastAsia"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设计燃料</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天然气</w:t>
                  </w:r>
                </w:p>
              </w:tc>
              <w:tc>
                <w:tcPr>
                  <w:tcW w:w="1807"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设计燃料低位发热值</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36.5MJ/m</w:t>
                  </w:r>
                  <w:r>
                    <w:rPr>
                      <w:sz w:val="18"/>
                      <w:szCs w:val="18"/>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设计额定输出热功率</w:t>
                  </w:r>
                </w:p>
              </w:tc>
              <w:tc>
                <w:tcPr>
                  <w:tcW w:w="2210"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1700</w:t>
                  </w:r>
                  <w:r>
                    <w:rPr>
                      <w:sz w:val="18"/>
                      <w:szCs w:val="18"/>
                    </w:rPr>
                    <w:tab/>
                  </w:r>
                  <w:r>
                    <w:rPr>
                      <w:sz w:val="18"/>
                      <w:szCs w:val="18"/>
                    </w:rPr>
                    <w:t>k</w:t>
                  </w:r>
                  <w:r>
                    <w:rPr>
                      <w:rFonts w:hint="eastAsia"/>
                      <w:sz w:val="18"/>
                      <w:szCs w:val="18"/>
                    </w:rPr>
                    <w:t>w</w:t>
                  </w:r>
                </w:p>
              </w:tc>
              <w:tc>
                <w:tcPr>
                  <w:tcW w:w="1807"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设计输出热功率范围</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910</w:t>
                  </w:r>
                  <w:r>
                    <w:rPr>
                      <w:rFonts w:hint="eastAsia"/>
                      <w:sz w:val="18"/>
                      <w:szCs w:val="18"/>
                    </w:rPr>
                    <w:t>~</w:t>
                  </w:r>
                  <w:r>
                    <w:rPr>
                      <w:sz w:val="18"/>
                      <w:szCs w:val="18"/>
                    </w:rPr>
                    <w:t>1800</w:t>
                  </w:r>
                  <w:r>
                    <w:rPr>
                      <w:rFonts w:hint="eastAsia"/>
                      <w:sz w:val="18"/>
                      <w:szCs w:val="18"/>
                    </w:rPr>
                    <w:t>K</w:t>
                  </w:r>
                  <w:r>
                    <w:rPr>
                      <w:sz w:val="18"/>
                      <w:szCs w:val="1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7887" w:type="dxa"/>
                  <w:gridSpan w:val="6"/>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b/>
                      <w:bCs/>
                      <w:sz w:val="18"/>
                      <w:szCs w:val="18"/>
                    </w:rPr>
                  </w:pPr>
                  <w:r>
                    <w:rPr>
                      <w:rFonts w:ascii="宋体" w:hAnsi="宋体"/>
                      <w:b/>
                      <w:bCs/>
                      <w:sz w:val="18"/>
                      <w:szCs w:val="18"/>
                    </w:rPr>
                    <w:t>主要配件基本情况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b/>
                      <w:bCs/>
                      <w:sz w:val="18"/>
                      <w:szCs w:val="18"/>
                    </w:rPr>
                  </w:pPr>
                  <w:r>
                    <w:rPr>
                      <w:rFonts w:ascii="宋体" w:hAnsi="宋体"/>
                      <w:b/>
                      <w:bCs/>
                      <w:sz w:val="18"/>
                      <w:szCs w:val="18"/>
                    </w:rPr>
                    <w:t>配件名称</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b/>
                      <w:bCs/>
                      <w:sz w:val="18"/>
                      <w:szCs w:val="18"/>
                    </w:rPr>
                  </w:pPr>
                  <w:r>
                    <w:rPr>
                      <w:rFonts w:ascii="宋体" w:hAnsi="宋体"/>
                      <w:b/>
                      <w:bCs/>
                      <w:sz w:val="18"/>
                      <w:szCs w:val="18"/>
                    </w:rPr>
                    <w:t>型号</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b/>
                      <w:bCs/>
                      <w:sz w:val="18"/>
                      <w:szCs w:val="18"/>
                    </w:rPr>
                  </w:pPr>
                  <w:r>
                    <w:rPr>
                      <w:rFonts w:ascii="宋体" w:hAnsi="宋体"/>
                      <w:b/>
                      <w:bCs/>
                      <w:sz w:val="18"/>
                      <w:szCs w:val="18"/>
                    </w:rPr>
                    <w:t>主要参数</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b/>
                      <w:bCs/>
                      <w:sz w:val="18"/>
                      <w:szCs w:val="18"/>
                    </w:rPr>
                  </w:pPr>
                  <w:r>
                    <w:rPr>
                      <w:rFonts w:ascii="宋体" w:hAnsi="宋体"/>
                      <w:b/>
                      <w:bCs/>
                      <w:sz w:val="18"/>
                      <w:szCs w:val="18"/>
                    </w:rPr>
                    <w:t>制造单位名称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程序控制器</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BM21</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200V, 50Hz</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三浦工业株式会社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点火变压器</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hint="eastAsia"/>
                      <w:sz w:val="18"/>
                      <w:szCs w:val="18"/>
                    </w:rPr>
                    <w:t>S</w:t>
                  </w:r>
                  <w:r>
                    <w:rPr>
                      <w:sz w:val="18"/>
                      <w:szCs w:val="18"/>
                    </w:rPr>
                    <w:t>720  A200-G</w:t>
                  </w:r>
                  <w:r>
                    <w:rPr>
                      <w:rFonts w:hint="eastAsia"/>
                      <w:sz w:val="18"/>
                      <w:szCs w:val="18"/>
                    </w:rPr>
                    <w:t>H</w:t>
                  </w:r>
                  <w:r>
                    <w:rPr>
                      <w:sz w:val="18"/>
                      <w:szCs w:val="18"/>
                    </w:rPr>
                    <w:t>RS</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16kV, 50mA</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azbil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火焰监测器</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ZUV-II</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三浦工业株式会社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安全切断阀（燃气</w:t>
                  </w:r>
                  <w:r>
                    <w:rPr>
                      <w:rFonts w:hint="eastAsia" w:ascii="宋体" w:hAnsi="宋体"/>
                      <w:sz w:val="18"/>
                      <w:szCs w:val="18"/>
                    </w:rPr>
                    <w:t>）</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VGD20.503  VNA-40</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DN50</w:t>
                  </w:r>
                  <w:r>
                    <w:rPr>
                      <w:rFonts w:hint="eastAsia"/>
                      <w:sz w:val="18"/>
                      <w:szCs w:val="18"/>
                    </w:rPr>
                    <w:t>,</w:t>
                  </w:r>
                  <w:r>
                    <w:rPr>
                      <w:sz w:val="18"/>
                      <w:szCs w:val="18"/>
                    </w:rPr>
                    <w:t>Pmaxl50kPa</w:t>
                  </w:r>
                </w:p>
                <w:p>
                  <w:pPr>
                    <w:autoSpaceDE w:val="0"/>
                    <w:spacing w:line="300" w:lineRule="exact"/>
                    <w:jc w:val="center"/>
                    <w:rPr>
                      <w:sz w:val="18"/>
                      <w:szCs w:val="18"/>
                    </w:rPr>
                  </w:pPr>
                  <w:r>
                    <w:rPr>
                      <w:sz w:val="18"/>
                      <w:szCs w:val="18"/>
                    </w:rPr>
                    <w:t>Rpl l/2</w:t>
                  </w:r>
                  <w:r>
                    <w:rPr>
                      <w:rFonts w:hint="eastAsia"/>
                      <w:sz w:val="18"/>
                      <w:szCs w:val="18"/>
                    </w:rPr>
                    <w:t>,</w:t>
                  </w:r>
                  <w:r>
                    <w:rPr>
                      <w:sz w:val="18"/>
                      <w:szCs w:val="18"/>
                    </w:rPr>
                    <w:t>30kPa</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 xml:space="preserve">SIEMENS </w:t>
                  </w:r>
                </w:p>
                <w:p>
                  <w:pPr>
                    <w:autoSpaceDE w:val="0"/>
                    <w:spacing w:line="300" w:lineRule="exact"/>
                    <w:jc w:val="center"/>
                    <w:rPr>
                      <w:sz w:val="18"/>
                      <w:szCs w:val="18"/>
                    </w:rPr>
                  </w:pPr>
                  <w:r>
                    <w:rPr>
                      <w:sz w:val="18"/>
                      <w:szCs w:val="18"/>
                    </w:rPr>
                    <w:t>CKD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伺服马达</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 xml:space="preserve">MCR5935Z </w:t>
                  </w:r>
                  <w:r>
                    <w:rPr>
                      <w:rFonts w:ascii="宋体" w:hAnsi="宋体"/>
                      <w:sz w:val="18"/>
                      <w:szCs w:val="18"/>
                    </w:rPr>
                    <w:t>（</w:t>
                  </w:r>
                  <w:r>
                    <w:rPr>
                      <w:rFonts w:hint="eastAsia" w:ascii="宋体" w:hAnsi="宋体"/>
                      <w:sz w:val="18"/>
                      <w:szCs w:val="18"/>
                    </w:rPr>
                    <w:t>风）</w:t>
                  </w:r>
                </w:p>
                <w:p>
                  <w:pPr>
                    <w:autoSpaceDE w:val="0"/>
                    <w:spacing w:line="300" w:lineRule="exact"/>
                    <w:jc w:val="center"/>
                    <w:rPr>
                      <w:sz w:val="18"/>
                      <w:szCs w:val="18"/>
                    </w:rPr>
                  </w:pPr>
                  <w:r>
                    <w:rPr>
                      <w:sz w:val="18"/>
                      <w:szCs w:val="18"/>
                    </w:rPr>
                    <w:t>FGR</w:t>
                  </w:r>
                  <w:r>
                    <w:rPr>
                      <w:rFonts w:ascii="宋体" w:hAnsi="宋体"/>
                      <w:sz w:val="18"/>
                      <w:szCs w:val="18"/>
                    </w:rPr>
                    <w:t>手动调节</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200V, 50/60</w:t>
                  </w:r>
                  <w:r>
                    <w:rPr>
                      <w:rFonts w:hint="eastAsia"/>
                      <w:sz w:val="18"/>
                      <w:szCs w:val="18"/>
                    </w:rPr>
                    <w:t>H</w:t>
                  </w:r>
                  <w:r>
                    <w:rPr>
                      <w:sz w:val="18"/>
                      <w:szCs w:val="18"/>
                    </w:rPr>
                    <w:t>z , 1250/ 1500r/min</w:t>
                  </w:r>
                </w:p>
                <w:p>
                  <w:pPr>
                    <w:autoSpaceDE w:val="0"/>
                    <w:spacing w:line="300" w:lineRule="exact"/>
                    <w:jc w:val="center"/>
                    <w:rPr>
                      <w:sz w:val="18"/>
                      <w:szCs w:val="18"/>
                    </w:rPr>
                  </w:pPr>
                  <w:r>
                    <w:rPr>
                      <w:rFonts w:ascii="宋体" w:hAnsi="宋体"/>
                      <w:sz w:val="18"/>
                      <w:szCs w:val="18"/>
                    </w:rPr>
                    <w:t>／</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STC</w:t>
                  </w:r>
                </w:p>
                <w:p>
                  <w:pPr>
                    <w:autoSpaceDE w:val="0"/>
                    <w:spacing w:line="300" w:lineRule="exact"/>
                    <w:jc w:val="center"/>
                    <w:rPr>
                      <w:sz w:val="18"/>
                      <w:szCs w:val="18"/>
                    </w:rPr>
                  </w:pPr>
                  <w:r>
                    <w:rPr>
                      <w:rFonts w:ascii="宋体"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 w:hRule="atLeast"/>
                <w:jc w:val="center"/>
              </w:trPr>
              <w:tc>
                <w:tcPr>
                  <w:tcW w:w="1814"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电源</w:t>
                  </w:r>
                </w:p>
              </w:tc>
              <w:tc>
                <w:tcPr>
                  <w:tcW w:w="169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w:t>
                  </w:r>
                </w:p>
              </w:tc>
              <w:tc>
                <w:tcPr>
                  <w:tcW w:w="2718" w:type="dxa"/>
                  <w:gridSpan w:val="3"/>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sz w:val="18"/>
                      <w:szCs w:val="18"/>
                    </w:rPr>
                    <w:t>220/380V,50</w:t>
                  </w:r>
                  <w:r>
                    <w:rPr>
                      <w:rFonts w:hint="eastAsia"/>
                      <w:sz w:val="18"/>
                      <w:szCs w:val="18"/>
                    </w:rPr>
                    <w:t>H</w:t>
                  </w:r>
                  <w:r>
                    <w:rPr>
                      <w:sz w:val="18"/>
                      <w:szCs w:val="18"/>
                    </w:rPr>
                    <w:t>z</w:t>
                  </w:r>
                </w:p>
              </w:tc>
              <w:tc>
                <w:tcPr>
                  <w:tcW w:w="1662"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ascii="宋体" w:hAnsi="宋体"/>
                      <w:sz w:val="18"/>
                      <w:szCs w:val="18"/>
                    </w:rPr>
                    <w:t>／</w:t>
                  </w:r>
                </w:p>
              </w:tc>
            </w:tr>
          </w:tbl>
          <w:p>
            <w:pPr>
              <w:autoSpaceDE w:val="0"/>
              <w:autoSpaceDN w:val="0"/>
              <w:adjustRightInd w:val="0"/>
              <w:snapToGrid w:val="0"/>
              <w:spacing w:line="400" w:lineRule="exact"/>
              <w:ind w:firstLine="420" w:firstLineChars="200"/>
              <w:jc w:val="left"/>
              <w:rPr>
                <w:kern w:val="0"/>
                <w:szCs w:val="21"/>
              </w:rPr>
            </w:pPr>
            <w:r>
              <w:rPr>
                <w:rFonts w:hint="eastAsia" w:ascii="宋体" w:hAnsi="宋体"/>
                <w:kern w:val="0"/>
              </w:rPr>
              <w:t>项目锅炉配套的软水设备详细参数见下表。</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8</w:t>
            </w:r>
            <w:r>
              <w:rPr>
                <w:rFonts w:eastAsia="黑体"/>
                <w:kern w:val="0"/>
                <w:sz w:val="20"/>
                <w:szCs w:val="20"/>
              </w:rPr>
              <w:t xml:space="preserve">  </w:t>
            </w:r>
            <w:r>
              <w:rPr>
                <w:rFonts w:hint="eastAsia" w:eastAsia="黑体"/>
                <w:kern w:val="0"/>
                <w:sz w:val="20"/>
                <w:szCs w:val="20"/>
              </w:rPr>
              <w:t xml:space="preserve"> </w:t>
            </w:r>
            <w:r>
              <w:rPr>
                <w:rFonts w:hint="eastAsia" w:ascii="黑体" w:hAnsi="黑体" w:eastAsia="黑体"/>
                <w:kern w:val="0"/>
                <w:sz w:val="20"/>
                <w:szCs w:val="20"/>
              </w:rPr>
              <w:t>项目锅炉配套的软水设备参数</w:t>
            </w:r>
          </w:p>
          <w:tbl>
            <w:tblPr>
              <w:tblStyle w:val="21"/>
              <w:tblW w:w="7669" w:type="dxa"/>
              <w:jc w:val="center"/>
              <w:tblLayout w:type="fixed"/>
              <w:tblCellMar>
                <w:top w:w="0" w:type="dxa"/>
                <w:left w:w="0" w:type="dxa"/>
                <w:bottom w:w="0" w:type="dxa"/>
                <w:right w:w="0" w:type="dxa"/>
              </w:tblCellMar>
            </w:tblPr>
            <w:tblGrid>
              <w:gridCol w:w="1378"/>
              <w:gridCol w:w="1256"/>
              <w:gridCol w:w="1500"/>
              <w:gridCol w:w="2685"/>
              <w:gridCol w:w="850"/>
            </w:tblGrid>
            <w:tr>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b/>
                      <w:bCs/>
                      <w:sz w:val="18"/>
                      <w:szCs w:val="18"/>
                    </w:rPr>
                  </w:pPr>
                  <w:r>
                    <w:rPr>
                      <w:rFonts w:ascii="宋体" w:hAnsi="宋体"/>
                      <w:b/>
                      <w:bCs/>
                      <w:sz w:val="18"/>
                      <w:szCs w:val="18"/>
                    </w:rPr>
                    <w:t>项目</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b/>
                      <w:bCs/>
                      <w:sz w:val="18"/>
                      <w:szCs w:val="18"/>
                    </w:rPr>
                  </w:pPr>
                  <w:r>
                    <w:rPr>
                      <w:rFonts w:ascii="宋体" w:hAnsi="宋体"/>
                      <w:b/>
                      <w:bCs/>
                      <w:sz w:val="18"/>
                      <w:szCs w:val="18"/>
                    </w:rPr>
                    <w:t>単</w:t>
                  </w:r>
                  <w:r>
                    <w:rPr>
                      <w:b/>
                      <w:bCs/>
                      <w:sz w:val="18"/>
                      <w:szCs w:val="18"/>
                    </w:rPr>
                    <w:t xml:space="preserve"> </w:t>
                  </w:r>
                  <w:r>
                    <w:rPr>
                      <w:rFonts w:ascii="宋体" w:hAnsi="宋体"/>
                      <w:b/>
                      <w:bCs/>
                      <w:sz w:val="18"/>
                      <w:szCs w:val="18"/>
                    </w:rPr>
                    <w:t>位</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b/>
                      <w:bCs/>
                      <w:sz w:val="18"/>
                      <w:szCs w:val="18"/>
                    </w:rPr>
                  </w:pPr>
                  <w:r>
                    <w:rPr>
                      <w:rFonts w:ascii="宋体" w:hAnsi="宋体"/>
                      <w:b/>
                      <w:bCs/>
                      <w:sz w:val="18"/>
                      <w:szCs w:val="18"/>
                    </w:rPr>
                    <w:t>全</w:t>
                  </w:r>
                  <w:r>
                    <w:rPr>
                      <w:rFonts w:hint="eastAsia" w:ascii="宋体" w:hAnsi="宋体"/>
                      <w:b/>
                      <w:bCs/>
                      <w:sz w:val="18"/>
                      <w:szCs w:val="18"/>
                    </w:rPr>
                    <w:t>自动软水</w:t>
                  </w:r>
                  <w:r>
                    <w:rPr>
                      <w:rFonts w:ascii="宋体" w:hAnsi="宋体"/>
                      <w:b/>
                      <w:bCs/>
                      <w:sz w:val="18"/>
                      <w:szCs w:val="18"/>
                    </w:rPr>
                    <w:t>装置</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b/>
                      <w:bCs/>
                      <w:sz w:val="18"/>
                      <w:szCs w:val="18"/>
                    </w:rPr>
                  </w:pPr>
                  <w:r>
                    <w:rPr>
                      <w:rFonts w:hint="eastAsia" w:ascii="宋体" w:hAnsi="宋体"/>
                      <w:b/>
                      <w:bCs/>
                      <w:sz w:val="18"/>
                      <w:szCs w:val="18"/>
                    </w:rPr>
                    <w:t>备注</w:t>
                  </w: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机种名称</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sz w:val="18"/>
                      <w:szCs w:val="18"/>
                    </w:rPr>
                    <w:t>MS-100C</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标准处理水量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m</w:t>
                  </w:r>
                  <w:r>
                    <w:rPr>
                      <w:sz w:val="18"/>
                      <w:szCs w:val="18"/>
                      <w:vertAlign w:val="superscript"/>
                    </w:rPr>
                    <w:t>3</w:t>
                  </w:r>
                  <w:r>
                    <w:rPr>
                      <w:sz w:val="18"/>
                      <w:szCs w:val="18"/>
                    </w:rPr>
                    <w:t>/h</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2.5</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树脂量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L</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100</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用水量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m</w:t>
                  </w:r>
                  <w:r>
                    <w:rPr>
                      <w:sz w:val="18"/>
                      <w:szCs w:val="18"/>
                      <w:vertAlign w:val="superscript"/>
                    </w:rPr>
                    <w:t>3</w:t>
                  </w:r>
                  <w:r>
                    <w:rPr>
                      <w:sz w:val="18"/>
                      <w:szCs w:val="18"/>
                    </w:rPr>
                    <w:t>/</w:t>
                  </w:r>
                  <w:r>
                    <w:rPr>
                      <w:rFonts w:ascii="宋体" w:hAnsi="宋体"/>
                      <w:sz w:val="18"/>
                      <w:szCs w:val="18"/>
                    </w:rPr>
                    <w:t>再生</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60</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除去硬度质量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kgCaCO</w:t>
                  </w:r>
                  <w:r>
                    <w:rPr>
                      <w:sz w:val="18"/>
                      <w:szCs w:val="18"/>
                      <w:vertAlign w:val="subscript"/>
                    </w:rPr>
                    <w:t>3</w:t>
                  </w:r>
                  <w:r>
                    <w:rPr>
                      <w:sz w:val="18"/>
                      <w:szCs w:val="18"/>
                    </w:rPr>
                    <w:t>/</w:t>
                  </w:r>
                  <w:r>
                    <w:rPr>
                      <w:rFonts w:ascii="宋体" w:hAnsi="宋体"/>
                      <w:sz w:val="18"/>
                      <w:szCs w:val="18"/>
                    </w:rPr>
                    <w:t>再生</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6.0</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再生盐量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kg/</w:t>
                  </w:r>
                  <w:r>
                    <w:rPr>
                      <w:rFonts w:ascii="宋体" w:hAnsi="宋体"/>
                      <w:sz w:val="18"/>
                      <w:szCs w:val="18"/>
                    </w:rPr>
                    <w:t>再生</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24</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最大储盐量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kg</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112</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原水温度范围</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sz w:val="18"/>
                      <w:szCs w:val="18"/>
                    </w:rPr>
                    <w:t>4</w:t>
                  </w:r>
                  <w:r>
                    <w:rPr>
                      <w:rFonts w:ascii="宋体" w:hAnsi="宋体"/>
                      <w:sz w:val="18"/>
                      <w:szCs w:val="18"/>
                    </w:rPr>
                    <w:t>～</w:t>
                  </w:r>
                  <w:r>
                    <w:rPr>
                      <w:sz w:val="18"/>
                      <w:szCs w:val="18"/>
                    </w:rPr>
                    <w:t>40(</w:t>
                  </w:r>
                  <w:r>
                    <w:rPr>
                      <w:rFonts w:ascii="宋体" w:hAnsi="宋体"/>
                      <w:sz w:val="18"/>
                      <w:szCs w:val="18"/>
                    </w:rPr>
                    <w:t>不可结冻</w:t>
                  </w:r>
                  <w:r>
                    <w:rPr>
                      <w:sz w:val="18"/>
                      <w:szCs w:val="18"/>
                    </w:rPr>
                    <w:t>)</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原水压力范围</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 xml:space="preserve">MPa </w:t>
                  </w:r>
                  <w:r>
                    <w:rPr>
                      <w:rFonts w:ascii="宋体" w:hAnsi="宋体"/>
                      <w:sz w:val="18"/>
                      <w:szCs w:val="18"/>
                    </w:rPr>
                    <w:t>｛</w:t>
                  </w:r>
                  <w:r>
                    <w:rPr>
                      <w:sz w:val="18"/>
                      <w:szCs w:val="18"/>
                    </w:rPr>
                    <w:t>kgf/cm</w:t>
                  </w:r>
                  <w:r>
                    <w:rPr>
                      <w:sz w:val="18"/>
                      <w:szCs w:val="18"/>
                      <w:vertAlign w:val="superscript"/>
                    </w:rPr>
                    <w:t>2</w:t>
                  </w:r>
                  <w:r>
                    <w:rPr>
                      <w:rFonts w:ascii="宋体" w:hAnsi="宋体"/>
                      <w:sz w:val="18"/>
                      <w:szCs w:val="18"/>
                    </w:rPr>
                    <w:t>｝</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sz w:val="18"/>
                      <w:szCs w:val="18"/>
                    </w:rPr>
                    <w:t>0.18</w:t>
                  </w:r>
                  <w:r>
                    <w:rPr>
                      <w:rFonts w:ascii="宋体" w:hAnsi="宋体"/>
                      <w:sz w:val="18"/>
                      <w:szCs w:val="18"/>
                    </w:rPr>
                    <w:t>～</w:t>
                  </w:r>
                  <w:r>
                    <w:rPr>
                      <w:sz w:val="18"/>
                      <w:szCs w:val="18"/>
                    </w:rPr>
                    <w:t xml:space="preserve">0.49 </w:t>
                  </w:r>
                  <w:r>
                    <w:rPr>
                      <w:rFonts w:ascii="宋体" w:hAnsi="宋体"/>
                      <w:sz w:val="18"/>
                      <w:szCs w:val="18"/>
                    </w:rPr>
                    <w:t>｛</w:t>
                  </w:r>
                  <w:r>
                    <w:rPr>
                      <w:sz w:val="18"/>
                      <w:szCs w:val="18"/>
                    </w:rPr>
                    <w:t>1.8</w:t>
                  </w:r>
                  <w:r>
                    <w:rPr>
                      <w:rFonts w:ascii="宋体" w:hAnsi="宋体"/>
                      <w:sz w:val="18"/>
                      <w:szCs w:val="18"/>
                    </w:rPr>
                    <w:t>～</w:t>
                  </w:r>
                  <w:r>
                    <w:rPr>
                      <w:sz w:val="18"/>
                      <w:szCs w:val="18"/>
                    </w:rPr>
                    <w:t>5.0</w:t>
                  </w:r>
                  <w:r>
                    <w:rPr>
                      <w:rFonts w:ascii="宋体" w:hAnsi="宋体"/>
                      <w:sz w:val="18"/>
                      <w:szCs w:val="18"/>
                    </w:rPr>
                    <w:t>｝</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压力损失</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 xml:space="preserve">MPa </w:t>
                  </w:r>
                  <w:r>
                    <w:rPr>
                      <w:rFonts w:ascii="宋体" w:hAnsi="宋体"/>
                      <w:sz w:val="18"/>
                      <w:szCs w:val="18"/>
                    </w:rPr>
                    <w:t>｛</w:t>
                  </w:r>
                  <w:r>
                    <w:rPr>
                      <w:sz w:val="18"/>
                      <w:szCs w:val="18"/>
                    </w:rPr>
                    <w:t>kgf/cm</w:t>
                  </w:r>
                  <w:r>
                    <w:rPr>
                      <w:sz w:val="18"/>
                      <w:szCs w:val="18"/>
                      <w:vertAlign w:val="superscript"/>
                    </w:rPr>
                    <w:t>2</w:t>
                  </w:r>
                  <w:r>
                    <w:rPr>
                      <w:rFonts w:ascii="宋体" w:hAnsi="宋体"/>
                      <w:sz w:val="18"/>
                      <w:szCs w:val="18"/>
                    </w:rPr>
                    <w:t>｝</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0.025 {0.25}</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1378" w:type="dxa"/>
                  <w:vMerge w:val="restart"/>
                  <w:tcBorders>
                    <w:top w:val="nil"/>
                    <w:left w:val="single" w:color="000000" w:sz="4" w:space="0"/>
                    <w:bottom w:val="nil"/>
                    <w:right w:val="single" w:color="000000" w:sz="4" w:space="0"/>
                  </w:tcBorders>
                  <w:vAlign w:val="center"/>
                </w:tcPr>
                <w:p>
                  <w:pPr>
                    <w:autoSpaceDE w:val="0"/>
                    <w:spacing w:line="280" w:lineRule="exact"/>
                    <w:jc w:val="center"/>
                    <w:rPr>
                      <w:sz w:val="18"/>
                      <w:szCs w:val="18"/>
                    </w:rPr>
                  </w:pPr>
                  <w:r>
                    <w:rPr>
                      <w:rFonts w:ascii="宋体" w:hAnsi="宋体"/>
                      <w:sz w:val="18"/>
                      <w:szCs w:val="18"/>
                    </w:rPr>
                    <w:t>再生排水</w:t>
                  </w:r>
                </w:p>
              </w:tc>
              <w:tc>
                <w:tcPr>
                  <w:tcW w:w="1256"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总排水量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L/</w:t>
                  </w:r>
                  <w:r>
                    <w:rPr>
                      <w:rFonts w:ascii="宋体" w:hAnsi="宋体"/>
                      <w:sz w:val="18"/>
                      <w:szCs w:val="18"/>
                    </w:rPr>
                    <w:t>再生</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1320</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1378" w:type="dxa"/>
                  <w:vMerge w:val="continue"/>
                  <w:tcBorders>
                    <w:top w:val="nil"/>
                    <w:left w:val="single" w:color="000000" w:sz="4" w:space="0"/>
                    <w:bottom w:val="nil"/>
                    <w:right w:val="single" w:color="000000" w:sz="4" w:space="0"/>
                  </w:tcBorders>
                  <w:vAlign w:val="center"/>
                </w:tcPr>
                <w:p>
                  <w:pPr>
                    <w:widowControl/>
                    <w:jc w:val="left"/>
                    <w:rPr>
                      <w:sz w:val="18"/>
                      <w:szCs w:val="18"/>
                    </w:rPr>
                  </w:pPr>
                </w:p>
              </w:tc>
              <w:tc>
                <w:tcPr>
                  <w:tcW w:w="1256"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最大流量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L/</w:t>
                  </w:r>
                  <w:r>
                    <w:rPr>
                      <w:rFonts w:ascii="宋体" w:hAnsi="宋体"/>
                      <w:sz w:val="18"/>
                      <w:szCs w:val="18"/>
                    </w:rPr>
                    <w:t>分</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20</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使用电源</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sz w:val="18"/>
                      <w:szCs w:val="18"/>
                    </w:rPr>
                    <w:t xml:space="preserve">AC220V 50Hz </w:t>
                  </w:r>
                  <w:r>
                    <w:rPr>
                      <w:rFonts w:ascii="宋体" w:hAnsi="宋体"/>
                      <w:sz w:val="18"/>
                      <w:szCs w:val="18"/>
                    </w:rPr>
                    <w:t>单相</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设备电力</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W</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rFonts w:ascii="宋体" w:hAnsi="宋体"/>
                      <w:sz w:val="18"/>
                      <w:szCs w:val="18"/>
                    </w:rPr>
                    <w:t>通常</w:t>
                  </w:r>
                  <w:r>
                    <w:rPr>
                      <w:sz w:val="18"/>
                      <w:szCs w:val="18"/>
                    </w:rPr>
                    <w:t>2</w:t>
                  </w:r>
                  <w:r>
                    <w:rPr>
                      <w:rFonts w:hint="eastAsia" w:ascii="宋体" w:hAnsi="宋体"/>
                      <w:sz w:val="18"/>
                      <w:szCs w:val="18"/>
                    </w:rPr>
                    <w:t>（</w:t>
                  </w:r>
                  <w:r>
                    <w:rPr>
                      <w:rFonts w:ascii="宋体" w:hAnsi="宋体"/>
                      <w:sz w:val="18"/>
                      <w:szCs w:val="18"/>
                    </w:rPr>
                    <w:t>再生中约</w:t>
                  </w:r>
                  <w:r>
                    <w:rPr>
                      <w:sz w:val="18"/>
                      <w:szCs w:val="18"/>
                    </w:rPr>
                    <w:t>10</w:t>
                  </w:r>
                  <w:r>
                    <w:rPr>
                      <w:rFonts w:ascii="宋体" w:hAnsi="宋体"/>
                      <w:sz w:val="18"/>
                      <w:szCs w:val="18"/>
                    </w:rPr>
                    <w:t>秒钟</w:t>
                  </w:r>
                  <w:r>
                    <w:rPr>
                      <w:sz w:val="18"/>
                      <w:szCs w:val="18"/>
                    </w:rPr>
                    <w:t>66W</w:t>
                  </w:r>
                  <w:r>
                    <w:rPr>
                      <w:rFonts w:hint="eastAsia" w:ascii="宋体" w:hAnsi="宋体"/>
                      <w:sz w:val="18"/>
                      <w:szCs w:val="18"/>
                    </w:rPr>
                    <w:t>）</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定时</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日</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sz w:val="18"/>
                      <w:szCs w:val="18"/>
                    </w:rPr>
                    <w:t>12</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1378" w:type="dxa"/>
                  <w:vMerge w:val="restart"/>
                  <w:tcBorders>
                    <w:top w:val="nil"/>
                    <w:left w:val="single" w:color="000000" w:sz="4" w:space="0"/>
                    <w:bottom w:val="nil"/>
                    <w:right w:val="single" w:color="000000" w:sz="4" w:space="0"/>
                  </w:tcBorders>
                  <w:vAlign w:val="center"/>
                </w:tcPr>
                <w:p>
                  <w:pPr>
                    <w:autoSpaceDE w:val="0"/>
                    <w:spacing w:line="280" w:lineRule="exact"/>
                    <w:jc w:val="center"/>
                    <w:rPr>
                      <w:sz w:val="18"/>
                      <w:szCs w:val="18"/>
                    </w:rPr>
                  </w:pPr>
                  <w:r>
                    <w:rPr>
                      <w:rFonts w:ascii="宋体" w:hAnsi="宋体"/>
                      <w:sz w:val="18"/>
                      <w:szCs w:val="18"/>
                    </w:rPr>
                    <w:t>连接口径</w:t>
                  </w:r>
                </w:p>
              </w:tc>
              <w:tc>
                <w:tcPr>
                  <w:tcW w:w="1256"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出入口</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Ａ</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25</w:t>
                  </w:r>
                  <w:r>
                    <w:rPr>
                      <w:rFonts w:ascii="宋体" w:hAnsi="宋体"/>
                      <w:sz w:val="18"/>
                      <w:szCs w:val="18"/>
                    </w:rPr>
                    <w:t>（内螺纹）</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1378" w:type="dxa"/>
                  <w:vMerge w:val="continue"/>
                  <w:tcBorders>
                    <w:top w:val="nil"/>
                    <w:left w:val="single" w:color="000000" w:sz="4" w:space="0"/>
                    <w:bottom w:val="nil"/>
                    <w:right w:val="single" w:color="000000" w:sz="4" w:space="0"/>
                  </w:tcBorders>
                  <w:vAlign w:val="center"/>
                </w:tcPr>
                <w:p>
                  <w:pPr>
                    <w:widowControl/>
                    <w:jc w:val="left"/>
                    <w:rPr>
                      <w:sz w:val="18"/>
                      <w:szCs w:val="18"/>
                    </w:rPr>
                  </w:pPr>
                </w:p>
              </w:tc>
              <w:tc>
                <w:tcPr>
                  <w:tcW w:w="1256"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排水口</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mm</w:t>
                  </w:r>
                  <w:r>
                    <w:rPr>
                      <w:rFonts w:ascii="宋体" w:hAnsi="宋体"/>
                      <w:sz w:val="18"/>
                      <w:szCs w:val="18"/>
                    </w:rPr>
                    <w:t>，</w:t>
                  </w:r>
                  <w:r>
                    <w:rPr>
                      <w:sz w:val="18"/>
                      <w:szCs w:val="18"/>
                    </w:rPr>
                    <w:t>A</w:t>
                  </w:r>
                </w:p>
              </w:tc>
              <w:tc>
                <w:tcPr>
                  <w:tcW w:w="2685"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r>
                    <w:rPr>
                      <w:sz w:val="18"/>
                      <w:szCs w:val="18"/>
                    </w:rPr>
                    <w:t>20(</w:t>
                  </w:r>
                  <w:r>
                    <w:rPr>
                      <w:rFonts w:ascii="宋体" w:hAnsi="宋体"/>
                      <w:sz w:val="18"/>
                      <w:szCs w:val="18"/>
                    </w:rPr>
                    <w:t>内螺纹</w:t>
                  </w:r>
                  <w:r>
                    <w:rPr>
                      <w:sz w:val="18"/>
                      <w:szCs w:val="18"/>
                    </w:rPr>
                    <w:t>)</w:t>
                  </w:r>
                </w:p>
              </w:tc>
              <w:tc>
                <w:tcPr>
                  <w:tcW w:w="850" w:type="dxa"/>
                  <w:tcBorders>
                    <w:top w:val="single" w:color="000000" w:sz="4" w:space="0"/>
                    <w:left w:val="nil"/>
                    <w:bottom w:val="single" w:color="000000" w:sz="4" w:space="0"/>
                    <w:right w:val="single" w:color="auto"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外形尺寸</w:t>
                  </w:r>
                  <w:r>
                    <w:rPr>
                      <w:sz w:val="18"/>
                      <w:szCs w:val="18"/>
                    </w:rPr>
                    <w:t>(W×D×H)</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mm</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1070×570×1825</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净重</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kg</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148</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r>
              <w:tblPrEx>
                <w:tblCellMar>
                  <w:top w:w="0" w:type="dxa"/>
                  <w:left w:w="0" w:type="dxa"/>
                  <w:bottom w:w="0" w:type="dxa"/>
                  <w:right w:w="0" w:type="dxa"/>
                </w:tblCellMar>
              </w:tblPrEx>
              <w:trPr>
                <w:trHeight w:val="23" w:hRule="atLeast"/>
                <w:jc w:val="center"/>
              </w:trPr>
              <w:tc>
                <w:tcPr>
                  <w:tcW w:w="2634" w:type="dxa"/>
                  <w:gridSpan w:val="2"/>
                  <w:tcBorders>
                    <w:top w:val="single" w:color="000000" w:sz="4" w:space="0"/>
                    <w:left w:val="single" w:color="000000" w:sz="4" w:space="0"/>
                    <w:bottom w:val="single" w:color="000000" w:sz="4" w:space="0"/>
                    <w:right w:val="single" w:color="000000" w:sz="4" w:space="0"/>
                  </w:tcBorders>
                  <w:vAlign w:val="center"/>
                </w:tcPr>
                <w:p>
                  <w:pPr>
                    <w:autoSpaceDE w:val="0"/>
                    <w:spacing w:line="280" w:lineRule="exact"/>
                    <w:jc w:val="center"/>
                    <w:rPr>
                      <w:sz w:val="18"/>
                      <w:szCs w:val="18"/>
                    </w:rPr>
                  </w:pPr>
                  <w:r>
                    <w:rPr>
                      <w:rFonts w:ascii="宋体" w:hAnsi="宋体"/>
                      <w:sz w:val="18"/>
                      <w:szCs w:val="18"/>
                    </w:rPr>
                    <w:t>运行质量</w:t>
                  </w:r>
                </w:p>
              </w:tc>
              <w:tc>
                <w:tcPr>
                  <w:tcW w:w="150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kg</w:t>
                  </w:r>
                </w:p>
              </w:tc>
              <w:tc>
                <w:tcPr>
                  <w:tcW w:w="2685"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r>
                    <w:rPr>
                      <w:sz w:val="18"/>
                      <w:szCs w:val="18"/>
                    </w:rPr>
                    <w:t>428</w:t>
                  </w:r>
                </w:p>
              </w:tc>
              <w:tc>
                <w:tcPr>
                  <w:tcW w:w="850" w:type="dxa"/>
                  <w:tcBorders>
                    <w:top w:val="single" w:color="000000" w:sz="4" w:space="0"/>
                    <w:left w:val="nil"/>
                    <w:bottom w:val="single" w:color="000000" w:sz="4" w:space="0"/>
                    <w:right w:val="single" w:color="000000" w:sz="4" w:space="0"/>
                  </w:tcBorders>
                  <w:vAlign w:val="center"/>
                </w:tcPr>
                <w:p>
                  <w:pPr>
                    <w:autoSpaceDE w:val="0"/>
                    <w:spacing w:line="280" w:lineRule="exact"/>
                    <w:jc w:val="center"/>
                    <w:rPr>
                      <w:sz w:val="18"/>
                      <w:szCs w:val="18"/>
                    </w:rPr>
                  </w:pPr>
                </w:p>
              </w:tc>
            </w:tr>
          </w:tbl>
          <w:p>
            <w:pPr>
              <w:adjustRightInd w:val="0"/>
              <w:snapToGrid w:val="0"/>
              <w:spacing w:line="400" w:lineRule="exact"/>
              <w:ind w:left="-53" w:leftChars="-25" w:right="-53" w:rightChars="-25"/>
              <w:jc w:val="left"/>
              <w:rPr>
                <w:rFonts w:eastAsia="黑体"/>
                <w:bCs/>
                <w:szCs w:val="21"/>
              </w:rPr>
            </w:pPr>
            <w:r>
              <w:rPr>
                <w:rFonts w:hint="eastAsia" w:eastAsia="黑体"/>
                <w:bCs/>
                <w:sz w:val="22"/>
                <w:szCs w:val="22"/>
              </w:rPr>
              <w:t>7</w:t>
            </w:r>
            <w:r>
              <w:rPr>
                <w:rFonts w:eastAsia="黑体"/>
                <w:bCs/>
                <w:sz w:val="22"/>
                <w:szCs w:val="22"/>
              </w:rPr>
              <w:t>、物料平衡</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2-</w:t>
            </w:r>
            <w:r>
              <w:rPr>
                <w:rFonts w:hint="eastAsia" w:eastAsia="黑体"/>
                <w:kern w:val="0"/>
                <w:sz w:val="20"/>
                <w:szCs w:val="20"/>
              </w:rPr>
              <w:t xml:space="preserve">9 </w:t>
            </w:r>
            <w:r>
              <w:rPr>
                <w:rFonts w:eastAsia="黑体"/>
                <w:kern w:val="0"/>
                <w:sz w:val="20"/>
                <w:szCs w:val="20"/>
              </w:rPr>
              <w:t xml:space="preserve">  </w:t>
            </w:r>
            <w:r>
              <w:rPr>
                <w:rFonts w:ascii="黑体" w:hAnsi="黑体" w:eastAsia="黑体"/>
                <w:kern w:val="0"/>
                <w:sz w:val="20"/>
                <w:szCs w:val="20"/>
              </w:rPr>
              <w:t>营运期物料平衡表</w:t>
            </w:r>
          </w:p>
          <w:tbl>
            <w:tblPr>
              <w:tblStyle w:val="21"/>
              <w:tblW w:w="7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5"/>
              <w:gridCol w:w="1684"/>
              <w:gridCol w:w="1795"/>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3999" w:type="dxa"/>
                  <w:gridSpan w:val="2"/>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投 入</w:t>
                  </w:r>
                </w:p>
              </w:tc>
              <w:tc>
                <w:tcPr>
                  <w:tcW w:w="3607" w:type="dxa"/>
                  <w:gridSpan w:val="2"/>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产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名称</w:t>
                  </w:r>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年用量（t</w:t>
                  </w:r>
                  <w:r>
                    <w:rPr>
                      <w:rFonts w:hint="eastAsia"/>
                      <w:kern w:val="0"/>
                      <w:sz w:val="18"/>
                      <w:szCs w:val="18"/>
                    </w:rPr>
                    <w:t>/a</w:t>
                  </w:r>
                  <w:r>
                    <w:rPr>
                      <w:kern w:val="0"/>
                      <w:sz w:val="18"/>
                      <w:szCs w:val="18"/>
                    </w:rPr>
                    <w:t>）</w:t>
                  </w: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名称</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年产生量（t</w:t>
                  </w:r>
                  <w:r>
                    <w:rPr>
                      <w:rFonts w:hint="eastAsia"/>
                      <w:kern w:val="0"/>
                      <w:sz w:val="18"/>
                      <w:szCs w:val="18"/>
                    </w:rPr>
                    <w:t>/a</w:t>
                  </w:r>
                  <w:r>
                    <w:rPr>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bookmarkStart w:id="3" w:name="_Hlk458022497"/>
                  <w:r>
                    <w:rPr>
                      <w:rFonts w:hint="eastAsia"/>
                      <w:kern w:val="0"/>
                      <w:sz w:val="18"/>
                      <w:szCs w:val="18"/>
                    </w:rPr>
                    <w:t>自来水</w:t>
                  </w:r>
                  <w:bookmarkEnd w:id="3"/>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1243.8</w:t>
                  </w: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水蒸气</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软化设备浓水</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226.08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锅炉排水</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管道损耗</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离子树脂再生废水</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 w:hRule="atLeast"/>
                <w:jc w:val="center"/>
              </w:trPr>
              <w:tc>
                <w:tcPr>
                  <w:tcW w:w="231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合  计</w:t>
                  </w:r>
                </w:p>
              </w:tc>
              <w:tc>
                <w:tcPr>
                  <w:tcW w:w="1684"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1243.8</w:t>
                  </w:r>
                </w:p>
              </w:tc>
              <w:tc>
                <w:tcPr>
                  <w:tcW w:w="1795"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kern w:val="0"/>
                      <w:sz w:val="18"/>
                      <w:szCs w:val="18"/>
                    </w:rPr>
                    <w:t>合  计</w:t>
                  </w:r>
                </w:p>
              </w:tc>
              <w:tc>
                <w:tcPr>
                  <w:tcW w:w="1812" w:type="dxa"/>
                  <w:tcBorders>
                    <w:top w:val="single" w:color="auto" w:sz="4" w:space="0"/>
                    <w:left w:val="single" w:color="auto" w:sz="4" w:space="0"/>
                    <w:bottom w:val="single" w:color="auto" w:sz="4" w:space="0"/>
                    <w:right w:val="single" w:color="auto" w:sz="4" w:space="0"/>
                  </w:tcBorders>
                  <w:vAlign w:val="center"/>
                </w:tcPr>
                <w:p>
                  <w:pPr>
                    <w:widowControl/>
                    <w:autoSpaceDE w:val="0"/>
                    <w:spacing w:line="300" w:lineRule="exact"/>
                    <w:jc w:val="center"/>
                    <w:textAlignment w:val="top"/>
                    <w:rPr>
                      <w:kern w:val="0"/>
                      <w:sz w:val="18"/>
                      <w:szCs w:val="18"/>
                    </w:rPr>
                  </w:pPr>
                  <w:r>
                    <w:rPr>
                      <w:rFonts w:hint="eastAsia"/>
                      <w:kern w:val="0"/>
                      <w:sz w:val="18"/>
                      <w:szCs w:val="18"/>
                    </w:rPr>
                    <w:t>1243.8</w:t>
                  </w:r>
                </w:p>
              </w:tc>
            </w:tr>
          </w:tbl>
          <w:p>
            <w:pPr>
              <w:adjustRightInd w:val="0"/>
              <w:snapToGrid w:val="0"/>
              <w:spacing w:line="400" w:lineRule="exact"/>
              <w:ind w:left="-53" w:leftChars="-25" w:right="-53" w:rightChars="-25"/>
              <w:jc w:val="left"/>
              <w:rPr>
                <w:rFonts w:eastAsia="黑体"/>
                <w:bCs/>
                <w:szCs w:val="21"/>
              </w:rPr>
            </w:pPr>
            <w:r>
              <w:rPr>
                <w:rFonts w:hint="eastAsia" w:eastAsia="黑体"/>
                <w:bCs/>
                <w:sz w:val="22"/>
                <w:szCs w:val="22"/>
              </w:rPr>
              <w:t>8</w:t>
            </w:r>
            <w:r>
              <w:rPr>
                <w:rFonts w:eastAsia="黑体"/>
                <w:bCs/>
                <w:sz w:val="22"/>
                <w:szCs w:val="22"/>
              </w:rPr>
              <w:t>、用水平衡分析</w:t>
            </w:r>
          </w:p>
          <w:p>
            <w:pPr>
              <w:spacing w:line="400" w:lineRule="exact"/>
              <w:ind w:left="-31" w:leftChars="-15" w:right="-31" w:rightChars="-15" w:firstLine="420" w:firstLineChars="200"/>
              <w:rPr>
                <w:bCs/>
              </w:rPr>
            </w:pPr>
            <w:r>
              <w:rPr>
                <w:rFonts w:hint="eastAsia" w:ascii="宋体" w:hAnsi="宋体"/>
                <w:bCs/>
              </w:rPr>
              <w:t>（</w:t>
            </w:r>
            <w:r>
              <w:rPr>
                <w:rFonts w:hint="eastAsia"/>
                <w:bCs/>
              </w:rPr>
              <w:t>1</w:t>
            </w:r>
            <w:r>
              <w:rPr>
                <w:rFonts w:hint="eastAsia" w:ascii="宋体" w:hAnsi="宋体"/>
                <w:bCs/>
              </w:rPr>
              <w:t>）用水</w:t>
            </w:r>
          </w:p>
          <w:p>
            <w:pPr>
              <w:spacing w:line="400" w:lineRule="exact"/>
              <w:ind w:left="-31" w:leftChars="-15" w:right="-31" w:rightChars="-15" w:firstLine="420" w:firstLineChars="200"/>
              <w:rPr>
                <w:rFonts w:ascii="宋体" w:hAnsi="宋体"/>
                <w:bCs/>
              </w:rPr>
            </w:pPr>
            <w:r>
              <w:rPr>
                <w:rFonts w:ascii="宋体" w:hAnsi="宋体"/>
                <w:bCs/>
              </w:rPr>
              <w:t>本项目</w:t>
            </w:r>
            <w:r>
              <w:rPr>
                <w:rFonts w:hint="eastAsia" w:ascii="宋体" w:hAnsi="宋体"/>
                <w:bCs/>
              </w:rPr>
              <w:t>新建的燃气蒸汽</w:t>
            </w:r>
            <w:r>
              <w:rPr>
                <w:rFonts w:ascii="宋体" w:hAnsi="宋体"/>
                <w:bCs/>
              </w:rPr>
              <w:t>锅炉给水</w:t>
            </w:r>
            <w:r>
              <w:rPr>
                <w:rFonts w:hint="eastAsia" w:ascii="宋体" w:hAnsi="宋体"/>
                <w:bCs/>
              </w:rPr>
              <w:t>均采用软化水作为锅炉补水。</w:t>
            </w:r>
          </w:p>
          <w:p>
            <w:pPr>
              <w:spacing w:line="400" w:lineRule="exact"/>
              <w:ind w:left="-31" w:leftChars="-15" w:right="-31" w:rightChars="-15" w:firstLine="420" w:firstLineChars="200"/>
              <w:rPr>
                <w:rFonts w:ascii="宋体" w:hAnsi="宋体"/>
                <w:bCs/>
              </w:rPr>
            </w:pPr>
            <w:r>
              <w:rPr>
                <w:rFonts w:hint="eastAsia" w:ascii="宋体" w:hAnsi="宋体"/>
                <w:bCs/>
              </w:rPr>
              <w:t>根据建设单位提供的资料，洁泰洗涤厂洗涤车间蒸汽用量约10</w:t>
            </w:r>
            <w:r>
              <w:rPr>
                <w:rFonts w:hint="eastAsia"/>
                <w:bCs/>
              </w:rPr>
              <w:t>t/d（1.25t/h）</w:t>
            </w:r>
            <w:r>
              <w:rPr>
                <w:rFonts w:hint="eastAsia" w:ascii="宋体" w:hAnsi="宋体"/>
                <w:bCs/>
              </w:rPr>
              <w:t>，蒸汽全部用于被服烫干烫平、烘干损耗，则蒸汽消耗的用水量为</w:t>
            </w:r>
            <w:r>
              <w:rPr>
                <w:rFonts w:hint="eastAsia"/>
                <w:bCs/>
              </w:rPr>
              <w:t>1.25m</w:t>
            </w:r>
            <w:r>
              <w:rPr>
                <w:rFonts w:hint="eastAsia"/>
                <w:bCs/>
                <w:vertAlign w:val="superscript"/>
              </w:rPr>
              <w:t>3</w:t>
            </w:r>
            <w:r>
              <w:rPr>
                <w:rFonts w:hint="eastAsia"/>
                <w:bCs/>
              </w:rPr>
              <w:t>/h</w:t>
            </w:r>
            <w:r>
              <w:rPr>
                <w:rFonts w:hint="eastAsia" w:ascii="宋体" w:hAnsi="宋体"/>
                <w:bCs/>
              </w:rPr>
              <w:t>。锅炉新水采用软化水供给，软化水制备系统的制水效率为</w:t>
            </w:r>
            <w:r>
              <w:rPr>
                <w:rFonts w:hint="eastAsia"/>
                <w:bCs/>
              </w:rPr>
              <w:t>80%</w:t>
            </w:r>
            <w:r>
              <w:rPr>
                <w:rFonts w:hint="eastAsia" w:ascii="宋体" w:hAnsi="宋体"/>
                <w:bCs/>
              </w:rPr>
              <w:t>，另蒸汽锅炉排污量为</w:t>
            </w:r>
            <w:r>
              <w:rPr>
                <w:rFonts w:hint="eastAsia"/>
                <w:bCs/>
              </w:rPr>
              <w:t>5%</w:t>
            </w:r>
            <w:r>
              <w:rPr>
                <w:rFonts w:hint="eastAsia" w:ascii="宋体" w:hAnsi="宋体"/>
                <w:bCs/>
              </w:rPr>
              <w:t>，管道损失量为</w:t>
            </w:r>
            <w:r>
              <w:rPr>
                <w:rFonts w:hint="eastAsia"/>
                <w:bCs/>
              </w:rPr>
              <w:t>3%</w:t>
            </w:r>
            <w:r>
              <w:rPr>
                <w:rFonts w:hint="eastAsia" w:ascii="宋体" w:hAnsi="宋体"/>
                <w:bCs/>
              </w:rPr>
              <w:t>，则新鲜水用量为</w:t>
            </w:r>
            <w:r>
              <w:rPr>
                <w:rFonts w:hint="eastAsia"/>
                <w:bCs/>
              </w:rPr>
              <w:t>1.7m</w:t>
            </w:r>
            <w:r>
              <w:rPr>
                <w:rFonts w:hint="eastAsia"/>
                <w:bCs/>
                <w:vertAlign w:val="superscript"/>
              </w:rPr>
              <w:t>3</w:t>
            </w:r>
            <w:r>
              <w:rPr>
                <w:rFonts w:hint="eastAsia"/>
                <w:bCs/>
              </w:rPr>
              <w:t>/h</w:t>
            </w:r>
            <w:r>
              <w:rPr>
                <w:rFonts w:hint="eastAsia" w:ascii="宋体" w:hAnsi="宋体"/>
                <w:bCs/>
              </w:rPr>
              <w:t>（</w:t>
            </w:r>
            <w:r>
              <w:rPr>
                <w:rFonts w:hint="eastAsia"/>
                <w:bCs/>
              </w:rPr>
              <w:t>1224m</w:t>
            </w:r>
            <w:r>
              <w:rPr>
                <w:rFonts w:hint="eastAsia"/>
                <w:bCs/>
                <w:vertAlign w:val="superscript"/>
              </w:rPr>
              <w:t>3</w:t>
            </w:r>
            <w:r>
              <w:rPr>
                <w:rFonts w:hint="eastAsia"/>
                <w:bCs/>
              </w:rPr>
              <w:t>/a</w:t>
            </w:r>
            <w:r>
              <w:rPr>
                <w:rFonts w:hint="eastAsia" w:ascii="宋体" w:hAnsi="宋体"/>
                <w:bCs/>
              </w:rPr>
              <w:t>，年运行</w:t>
            </w:r>
            <w:r>
              <w:rPr>
                <w:rFonts w:hint="eastAsia"/>
                <w:bCs/>
              </w:rPr>
              <w:t>720</w:t>
            </w:r>
            <w:r>
              <w:rPr>
                <w:rFonts w:hint="eastAsia" w:ascii="宋体" w:hAnsi="宋体"/>
                <w:bCs/>
              </w:rPr>
              <w:t>小时）。</w:t>
            </w:r>
          </w:p>
          <w:p>
            <w:pPr>
              <w:spacing w:line="400" w:lineRule="exact"/>
              <w:ind w:left="-31" w:leftChars="-15" w:right="-31" w:rightChars="-15" w:firstLine="420" w:firstLineChars="200"/>
              <w:rPr>
                <w:bCs/>
              </w:rPr>
            </w:pPr>
            <w:r>
              <w:rPr>
                <w:rFonts w:hint="eastAsia" w:ascii="宋体" w:hAnsi="宋体"/>
                <w:bCs/>
              </w:rPr>
              <w:t>软水设备的离子交换树脂需要定期加盐再生。根据设备参数，再生</w:t>
            </w:r>
            <w:r>
              <w:rPr>
                <w:rFonts w:hint="eastAsia"/>
                <w:bCs/>
              </w:rPr>
              <w:t>1</w:t>
            </w:r>
            <w:r>
              <w:rPr>
                <w:rFonts w:hint="eastAsia" w:ascii="宋体" w:hAnsi="宋体"/>
                <w:bCs/>
              </w:rPr>
              <w:t>次排水</w:t>
            </w:r>
            <w:r>
              <w:rPr>
                <w:rFonts w:hint="eastAsia"/>
                <w:bCs/>
              </w:rPr>
              <w:t>1320L</w:t>
            </w:r>
            <w:r>
              <w:rPr>
                <w:rFonts w:hint="eastAsia" w:ascii="宋体" w:hAnsi="宋体"/>
                <w:bCs/>
              </w:rPr>
              <w:t>，平均每制备</w:t>
            </w:r>
            <w:r>
              <w:rPr>
                <w:rFonts w:hint="eastAsia"/>
                <w:bCs/>
              </w:rPr>
              <w:t>60m</w:t>
            </w:r>
            <w:r>
              <w:rPr>
                <w:rFonts w:hint="eastAsia"/>
                <w:bCs/>
                <w:vertAlign w:val="superscript"/>
              </w:rPr>
              <w:t>3</w:t>
            </w:r>
            <w:r>
              <w:rPr>
                <w:rFonts w:hint="eastAsia" w:ascii="宋体" w:hAnsi="宋体"/>
                <w:bCs/>
              </w:rPr>
              <w:t>纯水需要再生</w:t>
            </w:r>
            <w:r>
              <w:rPr>
                <w:rFonts w:hint="eastAsia"/>
                <w:bCs/>
              </w:rPr>
              <w:t>1</w:t>
            </w:r>
            <w:r>
              <w:rPr>
                <w:rFonts w:hint="eastAsia" w:ascii="宋体" w:hAnsi="宋体"/>
                <w:bCs/>
              </w:rPr>
              <w:t>次，则年需要再生</w:t>
            </w:r>
            <w:r>
              <w:rPr>
                <w:rFonts w:hint="eastAsia"/>
                <w:bCs/>
              </w:rPr>
              <w:t>15</w:t>
            </w:r>
            <w:r>
              <w:rPr>
                <w:rFonts w:hint="eastAsia" w:ascii="宋体" w:hAnsi="宋体"/>
                <w:bCs/>
              </w:rPr>
              <w:t>次，则再生阶段用水量为</w:t>
            </w:r>
            <w:r>
              <w:rPr>
                <w:rFonts w:hint="eastAsia"/>
                <w:bCs/>
              </w:rPr>
              <w:t>19.8m</w:t>
            </w:r>
            <w:r>
              <w:rPr>
                <w:rFonts w:hint="eastAsia"/>
                <w:bCs/>
                <w:vertAlign w:val="superscript"/>
              </w:rPr>
              <w:t>3</w:t>
            </w:r>
            <w:r>
              <w:rPr>
                <w:rFonts w:hint="eastAsia"/>
                <w:bCs/>
              </w:rPr>
              <w:t>/a</w:t>
            </w:r>
            <w:r>
              <w:rPr>
                <w:rFonts w:hint="eastAsia" w:ascii="宋体" w:hAnsi="宋体"/>
                <w:bCs/>
              </w:rPr>
              <w:t>。</w:t>
            </w:r>
          </w:p>
          <w:p>
            <w:pPr>
              <w:autoSpaceDE w:val="0"/>
              <w:spacing w:line="400" w:lineRule="exact"/>
              <w:ind w:left="-31" w:leftChars="-15" w:right="-31" w:rightChars="-15" w:firstLine="420" w:firstLineChars="200"/>
            </w:pPr>
            <w:r>
              <w:rPr>
                <w:rFonts w:hint="eastAsia" w:ascii="宋体" w:hAnsi="宋体"/>
              </w:rPr>
              <w:t>综上，项目总用水量为</w:t>
            </w:r>
            <w:r>
              <w:rPr>
                <w:rFonts w:hint="eastAsia"/>
              </w:rPr>
              <w:t>1243.8</w:t>
            </w:r>
            <w:r>
              <w:rPr>
                <w:rFonts w:hint="eastAsia"/>
                <w:bCs/>
              </w:rPr>
              <w:t>m</w:t>
            </w:r>
            <w:r>
              <w:rPr>
                <w:rFonts w:hint="eastAsia"/>
                <w:bCs/>
                <w:vertAlign w:val="superscript"/>
              </w:rPr>
              <w:t>3</w:t>
            </w:r>
            <w:r>
              <w:rPr>
                <w:rFonts w:hint="eastAsia"/>
                <w:bCs/>
              </w:rPr>
              <w:t>/a</w:t>
            </w:r>
            <w:r>
              <w:rPr>
                <w:rFonts w:hint="eastAsia" w:ascii="宋体" w:hAnsi="宋体"/>
                <w:bCs/>
              </w:rPr>
              <w:t>。</w:t>
            </w:r>
          </w:p>
          <w:p>
            <w:pPr>
              <w:autoSpaceDE w:val="0"/>
              <w:spacing w:line="400" w:lineRule="exact"/>
              <w:ind w:left="-31" w:leftChars="-15" w:right="-31" w:rightChars="-15" w:firstLine="420" w:firstLineChars="200"/>
            </w:pPr>
            <w:r>
              <w:rPr>
                <w:rFonts w:hint="eastAsia" w:ascii="宋体" w:hAnsi="宋体"/>
              </w:rPr>
              <w:t>（</w:t>
            </w:r>
            <w:r>
              <w:rPr>
                <w:rFonts w:hint="eastAsia"/>
              </w:rPr>
              <w:t>2</w:t>
            </w:r>
            <w:r>
              <w:rPr>
                <w:rFonts w:hint="eastAsia" w:ascii="宋体" w:hAnsi="宋体"/>
              </w:rPr>
              <w:t>）</w:t>
            </w:r>
            <w:r>
              <w:rPr>
                <w:rFonts w:ascii="宋体" w:hAnsi="宋体"/>
              </w:rPr>
              <w:t>排水</w:t>
            </w:r>
          </w:p>
          <w:p>
            <w:pPr>
              <w:autoSpaceDE w:val="0"/>
              <w:spacing w:line="400" w:lineRule="exact"/>
              <w:ind w:left="-31" w:leftChars="-15" w:right="-31" w:rightChars="-15" w:firstLine="420" w:firstLineChars="200"/>
            </w:pPr>
            <w:r>
              <w:rPr>
                <w:rFonts w:hint="eastAsia" w:ascii="宋体" w:hAnsi="宋体"/>
              </w:rPr>
              <w:t>①</w:t>
            </w:r>
            <w:r>
              <w:rPr>
                <w:rFonts w:ascii="宋体" w:hAnsi="宋体"/>
              </w:rPr>
              <w:t>锅炉排污</w:t>
            </w:r>
            <w:r>
              <w:rPr>
                <w:rFonts w:hint="eastAsia" w:ascii="宋体" w:hAnsi="宋体"/>
              </w:rPr>
              <w:t>废水</w:t>
            </w:r>
          </w:p>
          <w:p>
            <w:pPr>
              <w:autoSpaceDE w:val="0"/>
              <w:spacing w:line="400" w:lineRule="exact"/>
              <w:ind w:left="-31" w:leftChars="-15" w:right="-31" w:rightChars="-15" w:firstLine="420" w:firstLineChars="200"/>
            </w:pPr>
            <w:bookmarkStart w:id="12" w:name="_GoBack"/>
            <w:r>
              <w:rPr>
                <w:rFonts w:ascii="宋体" w:hAnsi="宋体"/>
              </w:rPr>
              <w:t>蒸汽锅炉</w:t>
            </w:r>
            <w:bookmarkEnd w:id="12"/>
            <w:r>
              <w:rPr>
                <w:rFonts w:ascii="宋体" w:hAnsi="宋体"/>
              </w:rPr>
              <w:t>底部设置有连续排污和定期排污阀门，运行过程的排污量取为锅炉蒸汽产生量的</w:t>
            </w:r>
            <w:r>
              <w:t>5%</w:t>
            </w:r>
            <w:r>
              <w:rPr>
                <w:rFonts w:ascii="宋体" w:hAnsi="宋体"/>
              </w:rPr>
              <w:t>，本项目新建燃气锅炉总容量为</w:t>
            </w:r>
            <w:r>
              <w:rPr>
                <w:rFonts w:hint="eastAsia"/>
              </w:rPr>
              <w:t>2</w:t>
            </w:r>
            <w:r>
              <w:t>t/h</w:t>
            </w:r>
            <w:r>
              <w:rPr>
                <w:rFonts w:ascii="宋体" w:hAnsi="宋体"/>
              </w:rPr>
              <w:t>，则锅炉排污水量约为</w:t>
            </w:r>
            <w:r>
              <w:t>0.</w:t>
            </w:r>
            <w:r>
              <w:rPr>
                <w:rFonts w:hint="eastAsia"/>
              </w:rPr>
              <w:t>1</w:t>
            </w:r>
            <w:r>
              <w:t>m</w:t>
            </w:r>
            <w:r>
              <w:rPr>
                <w:vertAlign w:val="superscript"/>
              </w:rPr>
              <w:t>3</w:t>
            </w:r>
            <w:r>
              <w:t>/h</w:t>
            </w:r>
            <w:r>
              <w:rPr>
                <w:rFonts w:ascii="宋体" w:hAnsi="宋体"/>
              </w:rPr>
              <w:t>（</w:t>
            </w:r>
            <w:r>
              <w:rPr>
                <w:rFonts w:hint="eastAsia"/>
              </w:rPr>
              <w:t>80.</w:t>
            </w:r>
            <w:r>
              <w:t>0m</w:t>
            </w:r>
            <w:r>
              <w:rPr>
                <w:vertAlign w:val="superscript"/>
              </w:rPr>
              <w:t>3</w:t>
            </w:r>
            <w:r>
              <w:t>/a</w:t>
            </w:r>
            <w:r>
              <w:rPr>
                <w:rFonts w:ascii="宋体" w:hAnsi="宋体"/>
              </w:rPr>
              <w:t>）。</w:t>
            </w:r>
          </w:p>
          <w:p>
            <w:pPr>
              <w:pStyle w:val="15"/>
              <w:spacing w:after="0" w:line="400" w:lineRule="exact"/>
              <w:ind w:left="-31" w:leftChars="-15" w:right="-31" w:rightChars="-15" w:firstLine="420" w:firstLineChars="200"/>
              <w:rPr>
                <w:bCs/>
              </w:rPr>
            </w:pPr>
            <w:r>
              <w:rPr>
                <w:rFonts w:hint="eastAsia" w:ascii="宋体" w:hAnsi="宋体"/>
              </w:rPr>
              <w:t>②</w:t>
            </w:r>
            <w:r>
              <w:rPr>
                <w:rFonts w:hint="eastAsia" w:ascii="宋体" w:hAnsi="宋体"/>
                <w:bCs/>
              </w:rPr>
              <w:t>树脂再生废水</w:t>
            </w:r>
          </w:p>
          <w:p>
            <w:pPr>
              <w:autoSpaceDE w:val="0"/>
              <w:spacing w:line="400" w:lineRule="exact"/>
              <w:ind w:left="-31" w:leftChars="-15" w:right="-31" w:rightChars="-15" w:firstLine="420" w:firstLineChars="200"/>
              <w:rPr>
                <w:bCs/>
              </w:rPr>
            </w:pPr>
            <w:r>
              <w:rPr>
                <w:rFonts w:hint="eastAsia" w:ascii="宋体" w:hAnsi="宋体"/>
                <w:bCs/>
              </w:rPr>
              <w:t>软水设备的离子交换树脂定期再生废水按用水量全部排放计，则废水量为</w:t>
            </w:r>
            <w:r>
              <w:rPr>
                <w:rFonts w:hint="eastAsia"/>
                <w:bCs/>
              </w:rPr>
              <w:t>19.8m</w:t>
            </w:r>
            <w:r>
              <w:rPr>
                <w:rFonts w:hint="eastAsia"/>
                <w:bCs/>
                <w:vertAlign w:val="superscript"/>
              </w:rPr>
              <w:t>3</w:t>
            </w:r>
            <w:r>
              <w:rPr>
                <w:rFonts w:hint="eastAsia"/>
                <w:bCs/>
              </w:rPr>
              <w:t>/a</w:t>
            </w:r>
            <w:r>
              <w:rPr>
                <w:rFonts w:hint="eastAsia" w:ascii="宋体" w:hAnsi="宋体"/>
                <w:bCs/>
              </w:rPr>
              <w:t>。</w:t>
            </w:r>
          </w:p>
          <w:p>
            <w:pPr>
              <w:autoSpaceDE w:val="0"/>
              <w:spacing w:line="400" w:lineRule="exact"/>
              <w:ind w:left="-31" w:leftChars="-15" w:right="-31" w:rightChars="-15" w:firstLine="420" w:firstLineChars="200"/>
            </w:pPr>
            <w:r>
              <w:rPr>
                <w:rFonts w:hint="eastAsia" w:ascii="宋体" w:hAnsi="宋体"/>
                <w:bCs/>
              </w:rPr>
              <w:t>③</w:t>
            </w:r>
            <w:r>
              <w:rPr>
                <w:rFonts w:hint="eastAsia" w:ascii="宋体" w:hAnsi="宋体"/>
              </w:rPr>
              <w:t>软水设备浓水</w:t>
            </w:r>
          </w:p>
          <w:p>
            <w:pPr>
              <w:autoSpaceDE w:val="0"/>
              <w:spacing w:line="400" w:lineRule="exact"/>
              <w:ind w:left="-31" w:leftChars="-15" w:right="-31" w:rightChars="-15" w:firstLine="420" w:firstLineChars="200"/>
            </w:pPr>
            <w:r>
              <w:rPr>
                <w:rFonts w:hint="eastAsia" w:ascii="宋体" w:hAnsi="宋体"/>
              </w:rPr>
              <w:t>项目锅炉配备</w:t>
            </w:r>
            <w:r>
              <w:rPr>
                <w:rFonts w:hint="eastAsia"/>
              </w:rPr>
              <w:t>1</w:t>
            </w:r>
            <w:r>
              <w:rPr>
                <w:rFonts w:hint="eastAsia" w:ascii="宋体" w:hAnsi="宋体"/>
              </w:rPr>
              <w:t>套软水制备系统，采用离子交换树脂工艺制备软水。根据估算，软水制备系统的制水效率均在</w:t>
            </w:r>
            <w:r>
              <w:rPr>
                <w:rFonts w:hint="eastAsia"/>
              </w:rPr>
              <w:t>80%</w:t>
            </w:r>
            <w:r>
              <w:rPr>
                <w:rFonts w:hint="eastAsia" w:ascii="宋体" w:hAnsi="宋体"/>
              </w:rPr>
              <w:t>，本项目锅炉新鲜用水量为</w:t>
            </w:r>
            <w:r>
              <w:rPr>
                <w:rFonts w:hint="eastAsia"/>
              </w:rPr>
              <w:t>1.7m</w:t>
            </w:r>
            <w:r>
              <w:rPr>
                <w:rFonts w:hint="eastAsia"/>
                <w:vertAlign w:val="superscript"/>
              </w:rPr>
              <w:t>3</w:t>
            </w:r>
            <w:r>
              <w:rPr>
                <w:rFonts w:hint="eastAsia"/>
              </w:rPr>
              <w:t>/h</w:t>
            </w:r>
            <w:r>
              <w:rPr>
                <w:rFonts w:hint="eastAsia" w:ascii="宋体" w:hAnsi="宋体"/>
              </w:rPr>
              <w:t>（含锅炉排污、管道损耗），则离子再生废水的产生量为</w:t>
            </w:r>
            <w:r>
              <w:rPr>
                <w:rFonts w:hint="eastAsia"/>
              </w:rPr>
              <w:t>0.314m</w:t>
            </w:r>
            <w:r>
              <w:rPr>
                <w:rFonts w:hint="eastAsia"/>
                <w:vertAlign w:val="superscript"/>
              </w:rPr>
              <w:t>3</w:t>
            </w:r>
            <w:r>
              <w:rPr>
                <w:rFonts w:hint="eastAsia"/>
              </w:rPr>
              <w:t>/h</w:t>
            </w:r>
            <w:r>
              <w:rPr>
                <w:rFonts w:hint="eastAsia" w:ascii="宋体" w:hAnsi="宋体"/>
              </w:rPr>
              <w:t>（</w:t>
            </w:r>
            <w:r>
              <w:rPr>
                <w:rFonts w:hint="eastAsia"/>
              </w:rPr>
              <w:t>226.08m</w:t>
            </w:r>
            <w:r>
              <w:rPr>
                <w:rFonts w:hint="eastAsia"/>
                <w:vertAlign w:val="superscript"/>
              </w:rPr>
              <w:t>3</w:t>
            </w:r>
            <w:r>
              <w:rPr>
                <w:rFonts w:hint="eastAsia"/>
              </w:rPr>
              <w:t>/a</w:t>
            </w:r>
            <w:r>
              <w:rPr>
                <w:rFonts w:hint="eastAsia" w:ascii="宋体" w:hAnsi="宋体"/>
              </w:rPr>
              <w:t>）。</w:t>
            </w:r>
          </w:p>
          <w:p>
            <w:pPr>
              <w:spacing w:line="400" w:lineRule="exact"/>
              <w:ind w:firstLine="420" w:firstLineChars="200"/>
              <w:rPr>
                <w:rFonts w:ascii="宋体" w:hAnsi="宋体"/>
              </w:rPr>
            </w:pPr>
            <w:r>
              <w:rPr>
                <w:rFonts w:ascii="宋体" w:hAnsi="宋体"/>
                <w:bCs/>
              </w:rPr>
              <w:t>综上，</w:t>
            </w:r>
            <w:r>
              <w:rPr>
                <w:rFonts w:hint="eastAsia" w:ascii="宋体" w:hAnsi="宋体"/>
                <w:bCs/>
              </w:rPr>
              <w:t>本</w:t>
            </w:r>
            <w:r>
              <w:rPr>
                <w:rFonts w:ascii="宋体" w:hAnsi="宋体"/>
                <w:bCs/>
              </w:rPr>
              <w:t>项目</w:t>
            </w:r>
            <w:r>
              <w:rPr>
                <w:rFonts w:hint="eastAsia" w:ascii="宋体" w:hAnsi="宋体"/>
                <w:bCs/>
              </w:rPr>
              <w:t>总</w:t>
            </w:r>
            <w:r>
              <w:rPr>
                <w:rFonts w:ascii="宋体" w:hAnsi="宋体"/>
                <w:bCs/>
              </w:rPr>
              <w:t>用水量为</w:t>
            </w:r>
            <w:r>
              <w:rPr>
                <w:rFonts w:hint="eastAsia" w:ascii="宋体" w:hAnsi="宋体"/>
                <w:bCs/>
              </w:rPr>
              <w:t>1243.8</w:t>
            </w:r>
            <w:r>
              <w:t>m</w:t>
            </w:r>
            <w:r>
              <w:rPr>
                <w:vertAlign w:val="superscript"/>
              </w:rPr>
              <w:t>3</w:t>
            </w:r>
            <w:r>
              <w:t>/</w:t>
            </w:r>
            <w:r>
              <w:rPr>
                <w:rFonts w:hint="eastAsia"/>
              </w:rPr>
              <w:t>a</w:t>
            </w:r>
            <w:r>
              <w:rPr>
                <w:rFonts w:ascii="宋体" w:hAnsi="宋体"/>
              </w:rPr>
              <w:t>，废水产生量为</w:t>
            </w:r>
            <w:r>
              <w:rPr>
                <w:rFonts w:hint="eastAsia"/>
              </w:rPr>
              <w:t>325.88</w:t>
            </w:r>
            <w:r>
              <w:t>m</w:t>
            </w:r>
            <w:r>
              <w:rPr>
                <w:vertAlign w:val="superscript"/>
              </w:rPr>
              <w:t>3</w:t>
            </w:r>
            <w:r>
              <w:t>/</w:t>
            </w:r>
            <w:r>
              <w:rPr>
                <w:rFonts w:hint="eastAsia"/>
              </w:rPr>
              <w:t>a</w:t>
            </w:r>
            <w:r>
              <w:rPr>
                <w:rFonts w:ascii="宋体" w:hAnsi="宋体"/>
              </w:rPr>
              <w:t>，</w:t>
            </w:r>
            <w:r>
              <w:rPr>
                <w:rFonts w:hint="eastAsia" w:ascii="宋体" w:hAnsi="宋体"/>
              </w:rPr>
              <w:t>废水全部通过管道收集后，排入洗涤废水处理池处理后，经洗涤厂自建污水管网排入东岳场镇污水管网，最终进入东岳场镇污水处理厂。</w:t>
            </w:r>
          </w:p>
          <w:p>
            <w:pPr>
              <w:autoSpaceDE w:val="0"/>
              <w:autoSpaceDN w:val="0"/>
              <w:adjustRightInd w:val="0"/>
              <w:snapToGrid w:val="0"/>
              <w:jc w:val="center"/>
            </w:pPr>
            <w:r>
              <w:rPr>
                <w:rFonts w:hint="eastAsia" w:eastAsia="黑体"/>
                <w:bCs/>
                <w:szCs w:val="21"/>
              </w:rPr>
              <mc:AlternateContent>
                <mc:Choice Requires="wps">
                  <w:drawing>
                    <wp:anchor distT="0" distB="0" distL="114300" distR="114300" simplePos="0" relativeHeight="251671552" behindDoc="0" locked="0" layoutInCell="1" allowOverlap="1">
                      <wp:simplePos x="0" y="0"/>
                      <wp:positionH relativeFrom="column">
                        <wp:posOffset>3642995</wp:posOffset>
                      </wp:positionH>
                      <wp:positionV relativeFrom="paragraph">
                        <wp:posOffset>1181735</wp:posOffset>
                      </wp:positionV>
                      <wp:extent cx="1405255" cy="233680"/>
                      <wp:effectExtent l="0" t="4445" r="0" b="0"/>
                      <wp:wrapNone/>
                      <wp:docPr id="12"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1405255" cy="233680"/>
                              </a:xfrm>
                              <a:prstGeom prst="rect">
                                <a:avLst/>
                              </a:prstGeom>
                              <a:solidFill>
                                <a:schemeClr val="bg1">
                                  <a:lumMod val="100000"/>
                                  <a:lumOff val="0"/>
                                </a:schemeClr>
                              </a:solidFill>
                              <a:ln>
                                <a:noFill/>
                              </a:ln>
                            </wps:spPr>
                            <wps:txbx>
                              <w:txbxContent>
                                <w:p>
                                  <w:pPr>
                                    <w:ind w:left="-105" w:leftChars="-50" w:right="-105" w:rightChars="-50"/>
                                    <w:jc w:val="center"/>
                                    <w:rPr>
                                      <w:rFonts w:cs="黑体" w:asciiTheme="minorEastAsia" w:hAnsiTheme="minorEastAsia" w:eastAsiaTheme="minorEastAsia"/>
                                      <w:spacing w:val="-16"/>
                                      <w:sz w:val="18"/>
                                      <w:szCs w:val="18"/>
                                    </w:rPr>
                                  </w:pPr>
                                  <w:r>
                                    <w:rPr>
                                      <w:rFonts w:hint="eastAsia" w:cs="黑体" w:asciiTheme="minorEastAsia" w:hAnsiTheme="minorEastAsia" w:eastAsiaTheme="minorEastAsia"/>
                                      <w:bCs/>
                                      <w:sz w:val="18"/>
                                      <w:szCs w:val="18"/>
                                    </w:rPr>
                                    <w:t>洗涤车间被服烫、烘使用</w:t>
                                  </w:r>
                                </w:p>
                                <w:p/>
                              </w:txbxContent>
                            </wps:txbx>
                            <wps:bodyPr rot="0" vert="horz" wrap="square" lIns="91440" tIns="45720" rIns="91440" bIns="45720" anchor="t" anchorCtr="0" upright="1">
                              <a:noAutofit/>
                            </wps:bodyPr>
                          </wps:wsp>
                        </a:graphicData>
                      </a:graphic>
                    </wp:anchor>
                  </w:drawing>
                </mc:Choice>
                <mc:Fallback>
                  <w:pict>
                    <v:shape id="文本框 14" o:spid="_x0000_s1026" o:spt="202" type="#_x0000_t202" style="position:absolute;left:0pt;margin-left:286.85pt;margin-top:93.05pt;height:18.4pt;width:110.65pt;z-index:251671552;mso-width-relative:page;mso-height-relative:page;" fillcolor="#FFFFFF [3228]" filled="t" stroked="f" coordsize="21600,21600" o:gfxdata="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7SvSjYAAAACwEAAA8AAAAAAAAAAQAgAAAA&#10;IgAAAGRycy9kb3ducmV2LnhtbFBLAQIUABQAAAAIAIdO4kAn+LKiRAIAAHYEAAAOAAAAAAAAAAEA&#10;IAAAACcBAABkcnMvZTJvRG9jLnhtbFBLBQYAAAAABgAGAFkBAADdBQAAAAA=&#10;">
                      <v:fill on="t" focussize="0,0"/>
                      <v:stroke on="f"/>
                      <v:imagedata o:title=""/>
                      <o:lock v:ext="edit" aspectratio="f"/>
                      <v:textbox>
                        <w:txbxContent>
                          <w:p>
                            <w:pPr>
                              <w:ind w:left="-105" w:leftChars="-50" w:right="-105" w:rightChars="-50"/>
                              <w:jc w:val="center"/>
                              <w:rPr>
                                <w:rFonts w:cs="黑体" w:asciiTheme="minorEastAsia" w:hAnsiTheme="minorEastAsia" w:eastAsiaTheme="minorEastAsia"/>
                                <w:spacing w:val="-16"/>
                                <w:sz w:val="18"/>
                                <w:szCs w:val="18"/>
                              </w:rPr>
                            </w:pPr>
                            <w:r>
                              <w:rPr>
                                <w:rFonts w:hint="eastAsia" w:cs="黑体" w:asciiTheme="minorEastAsia" w:hAnsiTheme="minorEastAsia" w:eastAsiaTheme="minorEastAsia"/>
                                <w:bCs/>
                                <w:sz w:val="18"/>
                                <w:szCs w:val="18"/>
                              </w:rPr>
                              <w:t>洗涤车间被服烫、烘使用</w:t>
                            </w:r>
                          </w:p>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610235</wp:posOffset>
                      </wp:positionH>
                      <wp:positionV relativeFrom="paragraph">
                        <wp:posOffset>1840865</wp:posOffset>
                      </wp:positionV>
                      <wp:extent cx="3869690" cy="396240"/>
                      <wp:effectExtent l="0" t="0" r="0" b="3810"/>
                      <wp:wrapNone/>
                      <wp:docPr id="11" name="文本框 14"/>
                      <wp:cNvGraphicFramePr/>
                      <a:graphic xmlns:a="http://schemas.openxmlformats.org/drawingml/2006/main">
                        <a:graphicData uri="http://schemas.microsoft.com/office/word/2010/wordprocessingShape">
                          <wps:wsp>
                            <wps:cNvSpPr txBox="1"/>
                            <wps:spPr>
                              <a:xfrm>
                                <a:off x="0" y="0"/>
                                <a:ext cx="3869690" cy="396240"/>
                              </a:xfrm>
                              <a:prstGeom prst="rect">
                                <a:avLst/>
                              </a:prstGeom>
                              <a:noFill/>
                              <a:ln>
                                <a:noFill/>
                              </a:ln>
                            </wps:spPr>
                            <wps:txbx>
                              <w:txbxContent>
                                <w:p>
                                  <w:pPr>
                                    <w:spacing w:line="400" w:lineRule="exact"/>
                                    <w:jc w:val="center"/>
                                    <w:rPr>
                                      <w:rFonts w:ascii="黑体" w:hAnsi="宋体" w:eastAsia="黑体" w:cs="黑体"/>
                                      <w:spacing w:val="-16"/>
                                      <w:sz w:val="20"/>
                                      <w:szCs w:val="18"/>
                                    </w:rPr>
                                  </w:pPr>
                                  <w:r>
                                    <w:rPr>
                                      <w:rFonts w:hint="eastAsia" w:ascii="Calibri" w:hAnsi="Calibri" w:eastAsia="黑体" w:cs="黑体"/>
                                      <w:sz w:val="20"/>
                                      <w:szCs w:val="18"/>
                                    </w:rPr>
                                    <w:t>图</w:t>
                                  </w:r>
                                  <w:r>
                                    <w:rPr>
                                      <w:rFonts w:hint="eastAsia" w:ascii="Calibri" w:hAnsi="Calibri" w:eastAsia="黑体"/>
                                      <w:sz w:val="20"/>
                                      <w:szCs w:val="18"/>
                                    </w:rPr>
                                    <w:t>4</w:t>
                                  </w:r>
                                  <w:r>
                                    <w:rPr>
                                      <w:rFonts w:hint="eastAsia" w:ascii="Calibri" w:hAnsi="Calibri" w:eastAsia="黑体" w:cs="黑体"/>
                                      <w:sz w:val="20"/>
                                      <w:szCs w:val="18"/>
                                    </w:rPr>
                                    <w:t>：项目营运期水平衡</w:t>
                                  </w:r>
                                  <w:r>
                                    <w:rPr>
                                      <w:rFonts w:hint="eastAsia" w:ascii="Calibri" w:hAnsi="Calibri" w:eastAsia="黑体" w:cs="黑体"/>
                                      <w:bCs/>
                                      <w:sz w:val="20"/>
                                      <w:szCs w:val="18"/>
                                    </w:rPr>
                                    <w:t xml:space="preserve">图  </w:t>
                                  </w:r>
                                  <w:r>
                                    <w:rPr>
                                      <w:rFonts w:eastAsia="黑体"/>
                                      <w:bCs/>
                                      <w:sz w:val="20"/>
                                      <w:szCs w:val="18"/>
                                    </w:rPr>
                                    <w:t>m</w:t>
                                  </w:r>
                                  <w:r>
                                    <w:rPr>
                                      <w:rFonts w:eastAsia="黑体"/>
                                      <w:bCs/>
                                      <w:sz w:val="20"/>
                                      <w:szCs w:val="18"/>
                                      <w:vertAlign w:val="superscript"/>
                                    </w:rPr>
                                    <w:t>3</w:t>
                                  </w:r>
                                  <w:r>
                                    <w:rPr>
                                      <w:rFonts w:eastAsia="黑体"/>
                                      <w:bCs/>
                                      <w:sz w:val="20"/>
                                      <w:szCs w:val="18"/>
                                    </w:rPr>
                                    <w:t>/a</w:t>
                                  </w:r>
                                </w:p>
                                <w:p/>
                              </w:txbxContent>
                            </wps:txbx>
                            <wps:bodyPr upright="1"/>
                          </wps:wsp>
                        </a:graphicData>
                      </a:graphic>
                    </wp:anchor>
                  </w:drawing>
                </mc:Choice>
                <mc:Fallback>
                  <w:pict>
                    <v:shape id="文本框 14" o:spid="_x0000_s1026" o:spt="202" type="#_x0000_t202" style="position:absolute;left:0pt;margin-left:48.05pt;margin-top:144.95pt;height:31.2pt;width:304.7pt;z-index:251660288;mso-width-relative:page;mso-height-relative:page;" filled="f" stroked="f" coordsize="21600,21600" o:gfxdata="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prSvs&#10;2AAAAAoBAAAPAAAAAAAAAAEAIAAAACIAAABkcnMvZG93bnJldi54bWxQSwECFAAUAAAACACHTuJA&#10;9f27g68BAABQAwAADgAAAAAAAAABACAAAAAnAQAAZHJzL2Uyb0RvYy54bWxQSwUGAAAAAAYABgBZ&#10;AQAASAUAAAAA&#10;">
                      <v:fill on="f" focussize="0,0"/>
                      <v:stroke on="f"/>
                      <v:imagedata o:title=""/>
                      <o:lock v:ext="edit" aspectratio="f"/>
                      <v:textbox>
                        <w:txbxContent>
                          <w:p>
                            <w:pPr>
                              <w:spacing w:line="400" w:lineRule="exact"/>
                              <w:jc w:val="center"/>
                              <w:rPr>
                                <w:rFonts w:ascii="黑体" w:hAnsi="宋体" w:eastAsia="黑体" w:cs="黑体"/>
                                <w:spacing w:val="-16"/>
                                <w:sz w:val="20"/>
                                <w:szCs w:val="18"/>
                              </w:rPr>
                            </w:pPr>
                            <w:r>
                              <w:rPr>
                                <w:rFonts w:hint="eastAsia" w:ascii="Calibri" w:hAnsi="Calibri" w:eastAsia="黑体" w:cs="黑体"/>
                                <w:sz w:val="20"/>
                                <w:szCs w:val="18"/>
                              </w:rPr>
                              <w:t>图</w:t>
                            </w:r>
                            <w:r>
                              <w:rPr>
                                <w:rFonts w:hint="eastAsia" w:ascii="Calibri" w:hAnsi="Calibri" w:eastAsia="黑体"/>
                                <w:sz w:val="20"/>
                                <w:szCs w:val="18"/>
                              </w:rPr>
                              <w:t>4</w:t>
                            </w:r>
                            <w:r>
                              <w:rPr>
                                <w:rFonts w:hint="eastAsia" w:ascii="Calibri" w:hAnsi="Calibri" w:eastAsia="黑体" w:cs="黑体"/>
                                <w:sz w:val="20"/>
                                <w:szCs w:val="18"/>
                              </w:rPr>
                              <w:t>：项目营运期水平衡</w:t>
                            </w:r>
                            <w:r>
                              <w:rPr>
                                <w:rFonts w:hint="eastAsia" w:ascii="Calibri" w:hAnsi="Calibri" w:eastAsia="黑体" w:cs="黑体"/>
                                <w:bCs/>
                                <w:sz w:val="20"/>
                                <w:szCs w:val="18"/>
                              </w:rPr>
                              <w:t xml:space="preserve">图  </w:t>
                            </w:r>
                            <w:r>
                              <w:rPr>
                                <w:rFonts w:eastAsia="黑体"/>
                                <w:bCs/>
                                <w:sz w:val="20"/>
                                <w:szCs w:val="18"/>
                              </w:rPr>
                              <w:t>m</w:t>
                            </w:r>
                            <w:r>
                              <w:rPr>
                                <w:rFonts w:eastAsia="黑体"/>
                                <w:bCs/>
                                <w:sz w:val="20"/>
                                <w:szCs w:val="18"/>
                                <w:vertAlign w:val="superscript"/>
                              </w:rPr>
                              <w:t>3</w:t>
                            </w:r>
                            <w:r>
                              <w:rPr>
                                <w:rFonts w:eastAsia="黑体"/>
                                <w:bCs/>
                                <w:sz w:val="20"/>
                                <w:szCs w:val="18"/>
                              </w:rPr>
                              <w:t>/a</w:t>
                            </w:r>
                          </w:p>
                          <w:p/>
                        </w:txbxContent>
                      </v:textbox>
                    </v:shape>
                  </w:pict>
                </mc:Fallback>
              </mc:AlternateContent>
            </w:r>
            <w:r>
              <w:drawing>
                <wp:inline distT="0" distB="0" distL="0" distR="0">
                  <wp:extent cx="4891405" cy="1943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897876" cy="1945545"/>
                          </a:xfrm>
                          <a:prstGeom prst="rect">
                            <a:avLst/>
                          </a:prstGeom>
                        </pic:spPr>
                      </pic:pic>
                    </a:graphicData>
                  </a:graphic>
                </wp:inline>
              </w:drawing>
            </w:r>
          </w:p>
          <w:p>
            <w:pPr>
              <w:autoSpaceDE w:val="0"/>
              <w:autoSpaceDN w:val="0"/>
              <w:adjustRightInd w:val="0"/>
              <w:snapToGrid w:val="0"/>
              <w:spacing w:line="406" w:lineRule="exact"/>
              <w:ind w:firstLine="420" w:firstLineChars="200"/>
              <w:jc w:val="left"/>
            </w:pPr>
          </w:p>
          <w:p>
            <w:pPr>
              <w:adjustRightInd w:val="0"/>
              <w:snapToGrid w:val="0"/>
              <w:spacing w:line="390" w:lineRule="exact"/>
              <w:ind w:left="-53" w:leftChars="-25" w:right="-53" w:rightChars="-25"/>
              <w:jc w:val="left"/>
              <w:rPr>
                <w:rFonts w:eastAsia="黑体"/>
                <w:bCs/>
                <w:szCs w:val="21"/>
              </w:rPr>
            </w:pPr>
            <w:r>
              <w:rPr>
                <w:rFonts w:hint="eastAsia" w:eastAsia="黑体"/>
                <w:bCs/>
                <w:sz w:val="22"/>
                <w:szCs w:val="22"/>
              </w:rPr>
              <w:t>9</w:t>
            </w:r>
            <w:r>
              <w:rPr>
                <w:rFonts w:eastAsia="黑体"/>
                <w:bCs/>
                <w:sz w:val="22"/>
                <w:szCs w:val="22"/>
              </w:rPr>
              <w:t>、劳动</w:t>
            </w:r>
            <w:r>
              <w:rPr>
                <w:rFonts w:eastAsia="黑体"/>
                <w:bCs/>
                <w:szCs w:val="21"/>
              </w:rPr>
              <w:t>定员及工作制度</w:t>
            </w:r>
          </w:p>
          <w:p>
            <w:pPr>
              <w:autoSpaceDE w:val="0"/>
              <w:autoSpaceDN w:val="0"/>
              <w:adjustRightInd w:val="0"/>
              <w:snapToGrid w:val="0"/>
              <w:spacing w:line="390" w:lineRule="exact"/>
              <w:ind w:firstLine="420" w:firstLineChars="200"/>
              <w:jc w:val="left"/>
              <w:rPr>
                <w:kern w:val="0"/>
                <w:szCs w:val="21"/>
              </w:rPr>
            </w:pPr>
            <w:r>
              <w:rPr>
                <w:rFonts w:hint="eastAsia"/>
                <w:kern w:val="0"/>
                <w:szCs w:val="21"/>
              </w:rPr>
              <w:t>劳动定员：洁泰洗涤厂现有劳动定员20人，本次新增备用锅炉需要1名工人维护，建成后所需职工在现有职工中调剂，不新增劳动定员。</w:t>
            </w:r>
          </w:p>
          <w:p>
            <w:pPr>
              <w:autoSpaceDE w:val="0"/>
              <w:autoSpaceDN w:val="0"/>
              <w:adjustRightInd w:val="0"/>
              <w:snapToGrid w:val="0"/>
              <w:spacing w:line="390" w:lineRule="exact"/>
              <w:ind w:firstLine="420" w:firstLineChars="200"/>
              <w:jc w:val="left"/>
              <w:rPr>
                <w:kern w:val="0"/>
                <w:szCs w:val="21"/>
              </w:rPr>
            </w:pPr>
            <w:r>
              <w:rPr>
                <w:rFonts w:hint="eastAsia"/>
                <w:kern w:val="0"/>
                <w:szCs w:val="21"/>
              </w:rPr>
              <w:t>工作制度：根据实际情况，洗涤厂年生产日月300天，平均每天生产约8h。本项目锅炉作为生产备用热源，仅在东岳电厂供热不足时使用，不会长时间连续使用。</w:t>
            </w:r>
          </w:p>
          <w:p>
            <w:pPr>
              <w:autoSpaceDE w:val="0"/>
              <w:autoSpaceDN w:val="0"/>
              <w:adjustRightInd w:val="0"/>
              <w:snapToGrid w:val="0"/>
              <w:spacing w:line="390" w:lineRule="exact"/>
              <w:ind w:firstLine="420" w:firstLineChars="200"/>
              <w:jc w:val="left"/>
              <w:rPr>
                <w:kern w:val="0"/>
                <w:szCs w:val="21"/>
              </w:rPr>
            </w:pPr>
            <w:r>
              <w:rPr>
                <w:rFonts w:hint="eastAsia"/>
                <w:kern w:val="0"/>
                <w:szCs w:val="21"/>
              </w:rPr>
              <w:t>根据建设单位的统计，东岳电厂蒸汽供应不足或停供时间约3个月/年，即90天/年。因此，备用锅炉使用时间按90天计，每天按8小时计，则年工作约720小时</w:t>
            </w:r>
            <w:r>
              <w:rPr>
                <w:kern w:val="0"/>
                <w:szCs w:val="21"/>
              </w:rPr>
              <w:t>。</w:t>
            </w:r>
          </w:p>
          <w:p>
            <w:pPr>
              <w:adjustRightInd w:val="0"/>
              <w:snapToGrid w:val="0"/>
              <w:spacing w:line="390" w:lineRule="exact"/>
              <w:ind w:left="-53" w:leftChars="-25" w:right="-53" w:rightChars="-25"/>
              <w:jc w:val="left"/>
              <w:rPr>
                <w:rFonts w:eastAsia="黑体"/>
                <w:bCs/>
                <w:szCs w:val="21"/>
              </w:rPr>
            </w:pPr>
            <w:r>
              <w:rPr>
                <w:rFonts w:hint="eastAsia" w:eastAsia="黑体"/>
                <w:bCs/>
                <w:szCs w:val="21"/>
              </w:rPr>
              <w:t>10</w:t>
            </w:r>
            <w:r>
              <w:rPr>
                <w:rFonts w:eastAsia="黑体"/>
                <w:bCs/>
                <w:szCs w:val="21"/>
              </w:rPr>
              <w:t>、平面布置情况</w:t>
            </w:r>
            <w:r>
              <w:rPr>
                <w:rFonts w:hint="eastAsia" w:eastAsia="黑体"/>
                <w:bCs/>
                <w:szCs w:val="21"/>
              </w:rPr>
              <w:t>及合理性</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根据现场踏勘，洁泰洗涤厂占地区域大致呈南北走向的长条形，南北长约60m，东西最宽处约32m。</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整个洁泰洗涤厂平面布置如下：厂区大门位于占地东北侧，大门入口布置为办公区。车间内部按照拆包、分拣、机洗、烫平烫干烘干、分拣打包的工艺流程，将各操作区布置在车间靠东西两侧，车间中部留作通道。车间西侧为员工食堂，车间南侧为库房，东南侧车间围墙外布置为废水处理区。本项目洗涤废水处理后，经自建污水管网约2.0km接入南面的东岳场镇污水管网，最终进入东岳场镇污水处理厂处理后达标排放。</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本次新增燃气锅炉及锅炉房位于洗涤车间的东北侧。此处紧邻洗涤车间，锅炉用气用电用水较方便。锅炉房距离洗涤废水处理设施较近，锅炉排污水可新设管道排入废水池，不需要改动原车间洗涤废水管道。锅炉房设为独立的房间，能够降低对周围环境的影响。</w:t>
            </w:r>
          </w:p>
          <w:p>
            <w:pPr>
              <w:autoSpaceDE w:val="0"/>
              <w:autoSpaceDN w:val="0"/>
              <w:adjustRightInd w:val="0"/>
              <w:snapToGrid w:val="0"/>
              <w:spacing w:line="420" w:lineRule="exact"/>
              <w:ind w:firstLine="420" w:firstLineChars="200"/>
              <w:jc w:val="left"/>
              <w:rPr>
                <w:kern w:val="0"/>
                <w:szCs w:val="21"/>
              </w:rPr>
            </w:pPr>
            <w:r>
              <w:rPr>
                <w:rFonts w:hint="eastAsia"/>
                <w:kern w:val="0"/>
                <w:szCs w:val="21"/>
              </w:rPr>
              <w:t>评价认为，本项目总图布置时充分考虑了现有设施布置，既方便蒸汽供应，又方便锅炉原料的接入。在满足生产需求的前提下，既满足环保要求，又最大限度节约了建设成本。项目平面布置合理可行。项目平面布置情况见右图。</w:t>
            </w:r>
          </w:p>
          <w:p>
            <w:pPr>
              <w:autoSpaceDE w:val="0"/>
              <w:autoSpaceDN w:val="0"/>
              <w:adjustRightInd w:val="0"/>
              <w:snapToGrid w:val="0"/>
              <w:spacing w:line="420" w:lineRule="exact"/>
              <w:ind w:firstLine="420" w:firstLineChars="200"/>
              <w:jc w:val="left"/>
              <w:rPr>
                <w:kern w:val="0"/>
                <w:szCs w:val="21"/>
              </w:rPr>
            </w:pPr>
            <w:r>
              <w:rPr>
                <w:kern w:val="0"/>
                <w:szCs w:val="21"/>
              </w:rPr>
              <w:t>项目平面布置情况见下图：</w:t>
            </w:r>
          </w:p>
          <w:p>
            <w:pPr>
              <w:adjustRightInd w:val="0"/>
              <w:snapToGrid w:val="0"/>
              <w:jc w:val="center"/>
              <w:rPr>
                <w:b/>
                <w:bCs/>
                <w:szCs w:val="21"/>
              </w:rPr>
            </w:pPr>
            <w:r>
              <w:drawing>
                <wp:inline distT="0" distB="0" distL="0" distR="0">
                  <wp:extent cx="4644390" cy="297942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655230" cy="2986567"/>
                          </a:xfrm>
                          <a:prstGeom prst="rect">
                            <a:avLst/>
                          </a:prstGeom>
                        </pic:spPr>
                      </pic:pic>
                    </a:graphicData>
                  </a:graphic>
                </wp:inline>
              </w:drawing>
            </w:r>
          </w:p>
          <w:p>
            <w:pPr>
              <w:pStyle w:val="15"/>
              <w:spacing w:after="0"/>
            </w:pPr>
            <w:r>
              <w:rPr>
                <w:rFonts w:eastAsia="黑体"/>
                <w:bCs/>
                <w:sz w:val="24"/>
              </w:rPr>
              <mc:AlternateContent>
                <mc:Choice Requires="wps">
                  <w:drawing>
                    <wp:anchor distT="0" distB="0" distL="114300" distR="114300" simplePos="0" relativeHeight="251659264" behindDoc="0" locked="0" layoutInCell="1" allowOverlap="1">
                      <wp:simplePos x="0" y="0"/>
                      <wp:positionH relativeFrom="column">
                        <wp:posOffset>1174750</wp:posOffset>
                      </wp:positionH>
                      <wp:positionV relativeFrom="paragraph">
                        <wp:posOffset>0</wp:posOffset>
                      </wp:positionV>
                      <wp:extent cx="2462530" cy="269240"/>
                      <wp:effectExtent l="0" t="0" r="0" b="0"/>
                      <wp:wrapNone/>
                      <wp:docPr id="8" name="文本框 10"/>
                      <wp:cNvGraphicFramePr/>
                      <a:graphic xmlns:a="http://schemas.openxmlformats.org/drawingml/2006/main">
                        <a:graphicData uri="http://schemas.microsoft.com/office/word/2010/wordprocessingShape">
                          <wps:wsp>
                            <wps:cNvSpPr txBox="1"/>
                            <wps:spPr>
                              <a:xfrm>
                                <a:off x="0" y="0"/>
                                <a:ext cx="24625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6" o:spt="202" type="#_x0000_t202" style="position:absolute;left:0pt;margin-left:92.5pt;margin-top:0pt;height:21.2pt;width:193.9pt;z-index:251659264;mso-width-relative:page;mso-height-relative:page;" filled="f" stroked="f" coordsize="21600,21600" o:gfxdata="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nG2AAAAAcBAAAPAAAAAAAAAAEAIAAAACIA&#10;AABkcnMvZG93bnJldi54bWxQSwECFAAUAAAACACHTuJAnPqBkUICAAB1BAAADgAAAAAAAAABACAA&#10;AAAnAQAAZHJzL2Uyb0RvYy54bWxQSwUGAAAAAAYABgBZAQAA2wU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v:textbox>
                    </v:shape>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18" w:type="dxa"/>
            <w:tcBorders>
              <w:top w:val="single" w:color="auto" w:sz="4" w:space="0"/>
              <w:left w:val="single" w:color="auto" w:sz="8" w:space="0"/>
              <w:bottom w:val="single" w:color="auto" w:sz="4" w:space="0"/>
              <w:right w:val="single" w:color="auto" w:sz="4" w:space="0"/>
            </w:tcBorders>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工艺流程和产排污环节</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tc>
        <w:tc>
          <w:tcPr>
            <w:tcW w:w="8089" w:type="dxa"/>
            <w:tcBorders>
              <w:top w:val="single" w:color="auto" w:sz="4" w:space="0"/>
              <w:left w:val="single" w:color="auto" w:sz="4" w:space="0"/>
              <w:bottom w:val="single" w:color="auto" w:sz="4" w:space="0"/>
              <w:right w:val="single" w:color="auto" w:sz="8" w:space="0"/>
            </w:tcBorders>
          </w:tcPr>
          <w:p>
            <w:pPr>
              <w:adjustRightInd w:val="0"/>
              <w:snapToGrid w:val="0"/>
              <w:spacing w:before="120" w:beforeLines="50" w:line="440" w:lineRule="exact"/>
              <w:ind w:left="-53" w:leftChars="-25" w:right="-53" w:rightChars="-25"/>
              <w:jc w:val="left"/>
              <w:rPr>
                <w:rFonts w:eastAsia="黑体"/>
                <w:bCs/>
                <w:sz w:val="24"/>
              </w:rPr>
            </w:pPr>
            <w:r>
              <w:rPr>
                <w:rFonts w:eastAsia="黑体"/>
                <w:bCs/>
                <w:sz w:val="22"/>
                <w:szCs w:val="22"/>
              </w:rPr>
              <w:t>1、施工期工艺流程</w:t>
            </w:r>
          </w:p>
          <w:p>
            <w:pPr>
              <w:autoSpaceDE w:val="0"/>
              <w:autoSpaceDN w:val="0"/>
              <w:adjustRightInd w:val="0"/>
              <w:snapToGrid w:val="0"/>
              <w:spacing w:line="400" w:lineRule="exact"/>
              <w:ind w:firstLine="422" w:firstLineChars="200"/>
              <w:jc w:val="left"/>
              <w:rPr>
                <w:b/>
                <w:bCs/>
                <w:kern w:val="0"/>
              </w:rPr>
            </w:pPr>
            <w:r>
              <w:rPr>
                <w:rFonts w:ascii="宋体" w:hAnsi="宋体"/>
                <w:b/>
                <w:bCs/>
                <w:kern w:val="0"/>
              </w:rPr>
              <w:t>（</w:t>
            </w:r>
            <w:r>
              <w:rPr>
                <w:b/>
                <w:bCs/>
                <w:kern w:val="0"/>
              </w:rPr>
              <w:t>1</w:t>
            </w:r>
            <w:r>
              <w:rPr>
                <w:rFonts w:ascii="宋体" w:hAnsi="宋体"/>
                <w:b/>
                <w:bCs/>
                <w:kern w:val="0"/>
              </w:rPr>
              <w:t>）生产工艺流程</w:t>
            </w:r>
          </w:p>
          <w:p>
            <w:pPr>
              <w:autoSpaceDE w:val="0"/>
              <w:autoSpaceDN w:val="0"/>
              <w:adjustRightInd w:val="0"/>
              <w:snapToGrid w:val="0"/>
              <w:spacing w:line="400" w:lineRule="exact"/>
              <w:ind w:firstLine="420" w:firstLineChars="200"/>
              <w:jc w:val="left"/>
              <w:rPr>
                <w:kern w:val="0"/>
              </w:rPr>
            </w:pPr>
            <w:r>
              <w:rPr>
                <w:rFonts w:ascii="宋体" w:hAnsi="宋体"/>
                <w:kern w:val="0"/>
              </w:rPr>
              <w:t>本项目是在现有厂区旁空坝处建设，建设区域地面已硬化处理。因此，施工期</w:t>
            </w:r>
            <w:r>
              <w:rPr>
                <w:rFonts w:hint="eastAsia" w:ascii="宋体" w:hAnsi="宋体"/>
                <w:kern w:val="0"/>
              </w:rPr>
              <w:t>无土建施工，</w:t>
            </w:r>
            <w:r>
              <w:rPr>
                <w:rFonts w:ascii="宋体" w:hAnsi="宋体"/>
                <w:kern w:val="0"/>
              </w:rPr>
              <w:t>主要为</w:t>
            </w:r>
            <w:r>
              <w:rPr>
                <w:rFonts w:hint="eastAsia" w:ascii="宋体" w:hAnsi="宋体"/>
                <w:kern w:val="0"/>
              </w:rPr>
              <w:t>设备安装调试</w:t>
            </w:r>
            <w:r>
              <w:rPr>
                <w:rFonts w:ascii="宋体" w:hAnsi="宋体"/>
                <w:kern w:val="0"/>
              </w:rPr>
              <w:t>。施工期的产污工艺流程及产污位置如下图。</w:t>
            </w:r>
          </w:p>
          <w:p>
            <w:pPr>
              <w:autoSpaceDE w:val="0"/>
              <w:autoSpaceDN w:val="0"/>
              <w:adjustRightInd w:val="0"/>
              <w:snapToGrid w:val="0"/>
              <w:jc w:val="center"/>
              <w:rPr>
                <w:kern w:val="0"/>
              </w:rPr>
            </w:pPr>
            <w:r>
              <w:rPr>
                <w:rFonts w:eastAsia="黑体"/>
                <w:bCs/>
                <w:szCs w:val="21"/>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676275</wp:posOffset>
                      </wp:positionV>
                      <wp:extent cx="657225" cy="226060"/>
                      <wp:effectExtent l="12700" t="9525" r="6350" b="12065"/>
                      <wp:wrapNone/>
                      <wp:docPr id="5" name="Text Box 191"/>
                      <wp:cNvGraphicFramePr/>
                      <a:graphic xmlns:a="http://schemas.openxmlformats.org/drawingml/2006/main">
                        <a:graphicData uri="http://schemas.microsoft.com/office/word/2010/wordprocessingShape">
                          <wps:wsp>
                            <wps:cNvSpPr txBox="1">
                              <a:spLocks noChangeArrowheads="1"/>
                            </wps:cNvSpPr>
                            <wps:spPr bwMode="auto">
                              <a:xfrm>
                                <a:off x="0" y="0"/>
                                <a:ext cx="657225" cy="226060"/>
                              </a:xfrm>
                              <a:prstGeom prst="rect">
                                <a:avLst/>
                              </a:prstGeom>
                              <a:solidFill>
                                <a:schemeClr val="bg1">
                                  <a:lumMod val="75000"/>
                                  <a:lumOff val="0"/>
                                </a:schemeClr>
                              </a:solidFill>
                              <a:ln w="12700">
                                <a:solidFill>
                                  <a:srgbClr val="000000"/>
                                </a:solidFill>
                                <a:miter lim="800000"/>
                              </a:ln>
                            </wps:spPr>
                            <wps:txbx>
                              <w:txbxContent>
                                <w:p>
                                  <w:pPr>
                                    <w:ind w:left="-105" w:leftChars="-50" w:right="-105" w:rightChars="-50"/>
                                    <w:jc w:val="center"/>
                                    <w:rPr>
                                      <w:rFonts w:ascii="黑体" w:hAnsi="黑体" w:eastAsia="黑体"/>
                                      <w:sz w:val="18"/>
                                      <w:szCs w:val="21"/>
                                    </w:rPr>
                                  </w:pPr>
                                  <w:r>
                                    <w:rPr>
                                      <w:rFonts w:ascii="黑体" w:hAnsi="黑体" w:eastAsia="黑体"/>
                                      <w:sz w:val="18"/>
                                      <w:szCs w:val="21"/>
                                    </w:rPr>
                                    <w:t>锅炉房搭建</w:t>
                                  </w:r>
                                </w:p>
                              </w:txbxContent>
                            </wps:txbx>
                            <wps:bodyPr rot="0" vert="horz" wrap="square" lIns="91440" tIns="45720" rIns="91440" bIns="45720" anchor="t" anchorCtr="0" upright="1">
                              <a:noAutofit/>
                            </wps:bodyPr>
                          </wps:wsp>
                        </a:graphicData>
                      </a:graphic>
                    </wp:anchor>
                  </w:drawing>
                </mc:Choice>
                <mc:Fallback>
                  <w:pict>
                    <v:shape id="Text Box 191" o:spid="_x0000_s1026" o:spt="202" type="#_x0000_t202" style="position:absolute;left:0pt;margin-left:18pt;margin-top:53.25pt;height:17.8pt;width:51.75pt;z-index:251668480;mso-width-relative:page;mso-height-relative:page;" fillcolor="#BFBFBF [3212]" filled="t" stroked="t" coordsize="21600,21600" o:gfxdata="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Eus33VAAAACgEAAA8AAAAAAAAAAQAg&#10;AAAAIgAAAGRycy9kb3ducmV2LnhtbFBLAQIUABQAAAAIAIdO4kBdpCldSgIAAL0EAAAOAAAAAAAA&#10;AAEAIAAAACQBAABkcnMvZTJvRG9jLnhtbFBLBQYAAAAABgAGAFkBAADgBQAAAAA=&#10;">
                      <v:fill on="t" focussize="0,0"/>
                      <v:stroke weight="1pt" color="#000000" miterlimit="8" joinstyle="miter"/>
                      <v:imagedata o:title=""/>
                      <o:lock v:ext="edit" aspectratio="f"/>
                      <v:textbox>
                        <w:txbxContent>
                          <w:p>
                            <w:pPr>
                              <w:ind w:left="-105" w:leftChars="-50" w:right="-105" w:rightChars="-50"/>
                              <w:jc w:val="center"/>
                              <w:rPr>
                                <w:rFonts w:ascii="黑体" w:hAnsi="黑体" w:eastAsia="黑体"/>
                                <w:sz w:val="18"/>
                                <w:szCs w:val="21"/>
                              </w:rPr>
                            </w:pPr>
                            <w:r>
                              <w:rPr>
                                <w:rFonts w:ascii="黑体" w:hAnsi="黑体" w:eastAsia="黑体"/>
                                <w:sz w:val="18"/>
                                <w:szCs w:val="21"/>
                              </w:rPr>
                              <w:t>锅炉房搭建</w:t>
                            </w:r>
                          </w:p>
                        </w:txbxContent>
                      </v:textbox>
                    </v:shape>
                  </w:pict>
                </mc:Fallback>
              </mc:AlternateContent>
            </w:r>
            <w:r>
              <w:rPr>
                <w:rFonts w:eastAsia="黑体"/>
                <w:bCs/>
                <w:sz w:val="22"/>
                <w:szCs w:val="22"/>
              </w:rPr>
              <mc:AlternateContent>
                <mc:Choice Requires="wps">
                  <w:drawing>
                    <wp:anchor distT="0" distB="0" distL="114300" distR="114300" simplePos="0" relativeHeight="251669504" behindDoc="0" locked="0" layoutInCell="1" allowOverlap="1">
                      <wp:simplePos x="0" y="0"/>
                      <wp:positionH relativeFrom="column">
                        <wp:posOffset>215900</wp:posOffset>
                      </wp:positionH>
                      <wp:positionV relativeFrom="paragraph">
                        <wp:posOffset>15875</wp:posOffset>
                      </wp:positionV>
                      <wp:extent cx="657225" cy="302260"/>
                      <wp:effectExtent l="0" t="0" r="0" b="0"/>
                      <wp:wrapNone/>
                      <wp:docPr id="4" name="Text Box 192"/>
                      <wp:cNvGraphicFramePr/>
                      <a:graphic xmlns:a="http://schemas.openxmlformats.org/drawingml/2006/main">
                        <a:graphicData uri="http://schemas.microsoft.com/office/word/2010/wordprocessingShape">
                          <wps:wsp>
                            <wps:cNvSpPr txBox="1">
                              <a:spLocks noChangeArrowheads="1"/>
                            </wps:cNvSpPr>
                            <wps:spPr bwMode="auto">
                              <a:xfrm>
                                <a:off x="0" y="0"/>
                                <a:ext cx="657225" cy="302260"/>
                              </a:xfrm>
                              <a:prstGeom prst="rect">
                                <a:avLst/>
                              </a:prstGeom>
                              <a:solidFill>
                                <a:schemeClr val="bg1">
                                  <a:lumMod val="100000"/>
                                  <a:lumOff val="0"/>
                                </a:schemeClr>
                              </a:solidFill>
                              <a:ln>
                                <a:noFill/>
                              </a:ln>
                            </wps:spPr>
                            <wps:txbx>
                              <w:txbxContent>
                                <w:p>
                                  <w:pPr>
                                    <w:spacing w:line="400" w:lineRule="exact"/>
                                    <w:jc w:val="center"/>
                                    <w:rPr>
                                      <w:rFonts w:ascii="黑体" w:hAnsi="黑体" w:eastAsia="黑体"/>
                                      <w:sz w:val="18"/>
                                      <w:szCs w:val="21"/>
                                    </w:rPr>
                                  </w:pPr>
                                  <w:r>
                                    <w:rPr>
                                      <w:rFonts w:ascii="黑体" w:hAnsi="黑体" w:eastAsia="黑体"/>
                                      <w:sz w:val="18"/>
                                      <w:szCs w:val="21"/>
                                    </w:rPr>
                                    <w:t>固体废物</w:t>
                                  </w:r>
                                </w:p>
                              </w:txbxContent>
                            </wps:txbx>
                            <wps:bodyPr rot="0" vert="horz" wrap="square" lIns="91440" tIns="45720" rIns="91440" bIns="45720" anchor="t" anchorCtr="0" upright="1">
                              <a:noAutofit/>
                            </wps:bodyPr>
                          </wps:wsp>
                        </a:graphicData>
                      </a:graphic>
                    </wp:anchor>
                  </w:drawing>
                </mc:Choice>
                <mc:Fallback>
                  <w:pict>
                    <v:shape id="Text Box 192" o:spid="_x0000_s1026" o:spt="202" type="#_x0000_t202" style="position:absolute;left:0pt;margin-left:17pt;margin-top:1.25pt;height:23.8pt;width:51.75pt;z-index:251669504;mso-width-relative:page;mso-height-relative:page;" fillcolor="#FFFFFF [3228]" filled="t" stroked="f" coordsize="21600,21600" o:gfxdata="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bbqjdYAAAAHAQAADwAAAAAAAAABACAAAAAiAAAAZHJzL2Rvd25yZXYueG1s&#10;UEsBAhQAFAAAAAgAh07iQCytAT4zAgAAdAQAAA4AAAAAAAAAAQAgAAAAJQEAAGRycy9lMm9Eb2Mu&#10;eG1sUEsFBgAAAAAGAAYAWQEAAMoFAAAAAA==&#10;">
                      <v:fill on="t" focussize="0,0"/>
                      <v:stroke on="f"/>
                      <v:imagedata o:title=""/>
                      <o:lock v:ext="edit" aspectratio="f"/>
                      <v:textbox>
                        <w:txbxContent>
                          <w:p>
                            <w:pPr>
                              <w:spacing w:line="400" w:lineRule="exact"/>
                              <w:jc w:val="center"/>
                              <w:rPr>
                                <w:rFonts w:ascii="黑体" w:hAnsi="黑体" w:eastAsia="黑体"/>
                                <w:sz w:val="18"/>
                                <w:szCs w:val="21"/>
                              </w:rPr>
                            </w:pPr>
                            <w:r>
                              <w:rPr>
                                <w:rFonts w:ascii="黑体" w:hAnsi="黑体" w:eastAsia="黑体"/>
                                <w:sz w:val="18"/>
                                <w:szCs w:val="21"/>
                              </w:rPr>
                              <w:t>固体废物</w:t>
                            </w:r>
                          </w:p>
                        </w:txbxContent>
                      </v:textbox>
                    </v:shape>
                  </w:pict>
                </mc:Fallback>
              </mc:AlternateContent>
            </w:r>
            <w:r>
              <w:rPr>
                <w:rFonts w:eastAsia="黑体"/>
                <w:bCs/>
                <w:szCs w:val="21"/>
              </w:rPr>
              <mc:AlternateContent>
                <mc:Choice Requires="wps">
                  <w:drawing>
                    <wp:anchor distT="0" distB="0" distL="114300" distR="114300" simplePos="0" relativeHeight="251667456" behindDoc="0" locked="0" layoutInCell="1" allowOverlap="1">
                      <wp:simplePos x="0" y="0"/>
                      <wp:positionH relativeFrom="column">
                        <wp:posOffset>1358900</wp:posOffset>
                      </wp:positionH>
                      <wp:positionV relativeFrom="paragraph">
                        <wp:posOffset>934085</wp:posOffset>
                      </wp:positionV>
                      <wp:extent cx="2462530" cy="269240"/>
                      <wp:effectExtent l="0" t="0" r="0" b="0"/>
                      <wp:wrapNone/>
                      <wp:docPr id="2" name="文本框 10"/>
                      <wp:cNvGraphicFramePr/>
                      <a:graphic xmlns:a="http://schemas.openxmlformats.org/drawingml/2006/main">
                        <a:graphicData uri="http://schemas.microsoft.com/office/word/2010/wordprocessingShape">
                          <wps:wsp>
                            <wps:cNvSpPr txBox="1"/>
                            <wps:spPr>
                              <a:xfrm>
                                <a:off x="0" y="0"/>
                                <a:ext cx="246253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6" o:spt="202" type="#_x0000_t202" style="position:absolute;left:0pt;margin-left:107pt;margin-top:73.55pt;height:21.2pt;width:193.9pt;z-index:251667456;mso-width-relative:page;mso-height-relative:page;" filled="f" stroked="f" coordsize="21600,21600" o:gfxdata="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59Q5L2wAAAAsBAAAPAAAAAAAAAAEAIAAA&#10;ACIAAABkcnMvZG93bnJldi54bWxQSwECFAAUAAAACACHTuJAMQt9l0ICAAB1BAAADgAAAAAAAAAB&#10;ACAAAAAqAQAAZHJzL2Uyb0RvYy54bWxQSwUGAAAAAAYABgBZAQAA3gUAAAAA&#10;">
                      <v:fill on="f" focussize="0,0"/>
                      <v:stroke on="f" weight="0.5pt"/>
                      <v:imagedata o:title=""/>
                      <o:lock v:ext="edit" aspectratio="f"/>
                      <v:textbox>
                        <w:txbxContent>
                          <w:p>
                            <w:pPr>
                              <w:jc w:val="center"/>
                              <w:rPr>
                                <w:rFonts w:ascii="黑体" w:hAnsi="黑体" w:eastAsia="黑体"/>
                                <w:sz w:val="18"/>
                                <w:szCs w:val="21"/>
                              </w:rPr>
                            </w:pPr>
                            <w:r>
                              <w:rPr>
                                <w:rFonts w:hint="eastAsia" w:ascii="黑体" w:hAnsi="黑体" w:eastAsia="黑体"/>
                                <w:sz w:val="18"/>
                                <w:szCs w:val="21"/>
                              </w:rPr>
                              <w:t>图5：项目厂区总平面布置图</w:t>
                            </w:r>
                          </w:p>
                        </w:txbxContent>
                      </v:textbox>
                    </v:shape>
                  </w:pict>
                </mc:Fallback>
              </mc:AlternateContent>
            </w:r>
            <w:r>
              <w:drawing>
                <wp:inline distT="0" distB="0" distL="0" distR="0">
                  <wp:extent cx="4577715" cy="1035050"/>
                  <wp:effectExtent l="0" t="0" r="0" b="0"/>
                  <wp:docPr id="7" name="图片 7" descr="C:\Users\Administrator\AppData\Local\Temp\ksohtml49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ksohtml4916\wps2.png"/>
                          <pic:cNvPicPr>
                            <a:picLocks noChangeAspect="1" noChangeArrowheads="1"/>
                          </pic:cNvPicPr>
                        </pic:nvPicPr>
                        <pic:blipFill>
                          <a:blip r:embed="rId11">
                            <a:extLst>
                              <a:ext uri="{28A0092B-C50C-407E-A947-70E740481C1C}">
                                <a14:useLocalDpi xmlns:a14="http://schemas.microsoft.com/office/drawing/2010/main" val="0"/>
                              </a:ext>
                            </a:extLst>
                          </a:blip>
                          <a:srcRect b="18091"/>
                          <a:stretch>
                            <a:fillRect/>
                          </a:stretch>
                        </pic:blipFill>
                        <pic:spPr>
                          <a:xfrm>
                            <a:off x="0" y="0"/>
                            <a:ext cx="4578350" cy="1035161"/>
                          </a:xfrm>
                          <a:prstGeom prst="rect">
                            <a:avLst/>
                          </a:prstGeom>
                          <a:noFill/>
                          <a:ln>
                            <a:noFill/>
                          </a:ln>
                        </pic:spPr>
                      </pic:pic>
                    </a:graphicData>
                  </a:graphic>
                </wp:inline>
              </w:drawing>
            </w:r>
          </w:p>
          <w:p>
            <w:pPr>
              <w:autoSpaceDE w:val="0"/>
              <w:autoSpaceDN w:val="0"/>
              <w:adjustRightInd w:val="0"/>
              <w:snapToGrid w:val="0"/>
              <w:spacing w:line="400" w:lineRule="exact"/>
              <w:ind w:firstLine="420" w:firstLineChars="200"/>
              <w:jc w:val="left"/>
              <w:rPr>
                <w:kern w:val="0"/>
              </w:rPr>
            </w:pPr>
            <w:r>
              <w:rPr>
                <w:kern w:val="0"/>
              </w:rPr>
              <w:t xml:space="preserve"> </w:t>
            </w:r>
          </w:p>
          <w:p>
            <w:pPr>
              <w:autoSpaceDE w:val="0"/>
              <w:autoSpaceDN w:val="0"/>
              <w:adjustRightInd w:val="0"/>
              <w:snapToGrid w:val="0"/>
              <w:spacing w:line="400" w:lineRule="exact"/>
              <w:ind w:firstLine="420" w:firstLineChars="200"/>
              <w:jc w:val="left"/>
              <w:rPr>
                <w:b/>
                <w:bCs/>
                <w:kern w:val="0"/>
              </w:rPr>
            </w:pPr>
            <w:r>
              <w:rPr>
                <w:kern w:val="0"/>
              </w:rPr>
              <w:t xml:space="preserve"> </w:t>
            </w:r>
            <w:r>
              <w:rPr>
                <w:rFonts w:ascii="宋体" w:hAnsi="宋体"/>
                <w:b/>
                <w:bCs/>
                <w:kern w:val="0"/>
              </w:rPr>
              <w:t>（</w:t>
            </w:r>
            <w:r>
              <w:rPr>
                <w:rFonts w:hint="eastAsia"/>
                <w:b/>
                <w:bCs/>
                <w:kern w:val="0"/>
              </w:rPr>
              <w:t>2</w:t>
            </w:r>
            <w:r>
              <w:rPr>
                <w:rFonts w:ascii="宋体" w:hAnsi="宋体"/>
                <w:b/>
                <w:bCs/>
                <w:kern w:val="0"/>
              </w:rPr>
              <w:t>）</w:t>
            </w:r>
            <w:r>
              <w:rPr>
                <w:rFonts w:hint="eastAsia" w:ascii="宋体" w:hAnsi="宋体"/>
                <w:b/>
                <w:bCs/>
                <w:kern w:val="0"/>
              </w:rPr>
              <w:t>产污环节</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废气：主要为设备调试产生的废气。</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废水：主要为设备调试锅炉运行产生的少量废水。</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噪声：主要为机械设备噪声，产生的噪声在70~</w:t>
            </w:r>
            <w:r>
              <w:rPr>
                <w:rFonts w:hint="eastAsia" w:ascii="宋体" w:hAnsi="宋体"/>
                <w:kern w:val="0"/>
              </w:rPr>
              <w:t>90</w:t>
            </w:r>
            <w:r>
              <w:rPr>
                <w:rFonts w:ascii="宋体" w:hAnsi="宋体"/>
                <w:kern w:val="0"/>
              </w:rPr>
              <w:t>dB（A）之间。</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固体废物：主要为彩钢锅炉房搭建产生的废弃建筑垃圾</w:t>
            </w:r>
            <w:r>
              <w:rPr>
                <w:rFonts w:hint="eastAsia" w:ascii="宋体" w:hAnsi="宋体"/>
                <w:kern w:val="0"/>
              </w:rPr>
              <w:t>、设备安装产生的</w:t>
            </w:r>
            <w:r>
              <w:rPr>
                <w:rFonts w:ascii="宋体" w:hAnsi="宋体"/>
                <w:kern w:val="0"/>
              </w:rPr>
              <w:t>废弃包装材料等。</w:t>
            </w:r>
          </w:p>
          <w:p>
            <w:pPr>
              <w:adjustRightInd w:val="0"/>
              <w:snapToGrid w:val="0"/>
              <w:spacing w:line="410" w:lineRule="exact"/>
              <w:ind w:left="-53" w:leftChars="-25" w:right="-53" w:rightChars="-25"/>
              <w:jc w:val="left"/>
              <w:rPr>
                <w:rFonts w:eastAsia="黑体"/>
                <w:bCs/>
                <w:sz w:val="22"/>
                <w:szCs w:val="22"/>
              </w:rPr>
            </w:pPr>
            <w:r>
              <w:rPr>
                <w:rFonts w:eastAsia="黑体"/>
                <w:bCs/>
                <w:sz w:val="22"/>
                <w:szCs w:val="22"/>
              </w:rPr>
              <w:t>2、营运期工艺流程</w:t>
            </w:r>
          </w:p>
          <w:p>
            <w:pPr>
              <w:autoSpaceDE w:val="0"/>
              <w:autoSpaceDN w:val="0"/>
              <w:adjustRightInd w:val="0"/>
              <w:snapToGrid w:val="0"/>
              <w:spacing w:line="390" w:lineRule="exact"/>
              <w:ind w:firstLine="422" w:firstLineChars="200"/>
              <w:jc w:val="left"/>
              <w:rPr>
                <w:b/>
                <w:bCs/>
                <w:kern w:val="0"/>
              </w:rPr>
            </w:pPr>
            <w:r>
              <w:rPr>
                <w:rFonts w:ascii="宋体" w:hAnsi="宋体"/>
                <w:b/>
                <w:bCs/>
                <w:kern w:val="0"/>
              </w:rPr>
              <w:t>（</w:t>
            </w:r>
            <w:r>
              <w:rPr>
                <w:b/>
                <w:bCs/>
                <w:kern w:val="0"/>
              </w:rPr>
              <w:t>1</w:t>
            </w:r>
            <w:r>
              <w:rPr>
                <w:rFonts w:ascii="宋体" w:hAnsi="宋体"/>
                <w:b/>
                <w:bCs/>
                <w:kern w:val="0"/>
              </w:rPr>
              <w:t>）生产工艺流程</w:t>
            </w:r>
          </w:p>
          <w:p>
            <w:pPr>
              <w:autoSpaceDE w:val="0"/>
              <w:autoSpaceDN w:val="0"/>
              <w:adjustRightInd w:val="0"/>
              <w:snapToGrid w:val="0"/>
              <w:spacing w:line="410" w:lineRule="exact"/>
              <w:ind w:firstLine="420" w:firstLineChars="200"/>
              <w:jc w:val="left"/>
              <w:rPr>
                <w:kern w:val="0"/>
                <w:szCs w:val="21"/>
              </w:rPr>
            </w:pPr>
            <w:r>
              <w:rPr>
                <w:kern w:val="0"/>
                <w:szCs w:val="21"/>
              </w:rPr>
              <w:t>根据建设单位提供的资料，公司</w:t>
            </w:r>
            <w:r>
              <w:rPr>
                <w:rFonts w:hint="eastAsia"/>
                <w:kern w:val="0"/>
                <w:szCs w:val="21"/>
              </w:rPr>
              <w:t>购买成套三浦工业（中国）有限公司的CZI型多管式贯流式锅炉主体设备，包含锅炉主体、低氮燃烧装置、软水设备等。</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营运期锅炉运行工艺流程及产污环节见下图。</w:t>
            </w:r>
          </w:p>
          <w:p>
            <w:pPr>
              <w:autoSpaceDE w:val="0"/>
              <w:autoSpaceDN w:val="0"/>
              <w:adjustRightInd w:val="0"/>
              <w:snapToGrid w:val="0"/>
              <w:jc w:val="center"/>
              <w:rPr>
                <w:kern w:val="0"/>
                <w:szCs w:val="21"/>
              </w:rPr>
            </w:pPr>
            <w:r>
              <w:rPr>
                <w:rFonts w:eastAsia="黑体"/>
                <w:bCs/>
                <w:sz w:val="22"/>
                <w:szCs w:val="22"/>
              </w:rPr>
              <mc:AlternateContent>
                <mc:Choice Requires="wps">
                  <w:drawing>
                    <wp:anchor distT="0" distB="0" distL="114300" distR="114300" simplePos="0" relativeHeight="251670528" behindDoc="0" locked="0" layoutInCell="1" allowOverlap="1">
                      <wp:simplePos x="0" y="0"/>
                      <wp:positionH relativeFrom="column">
                        <wp:posOffset>895350</wp:posOffset>
                      </wp:positionH>
                      <wp:positionV relativeFrom="paragraph">
                        <wp:posOffset>1984375</wp:posOffset>
                      </wp:positionV>
                      <wp:extent cx="2619375" cy="269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619375"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ascii="黑体" w:hAnsi="黑体" w:eastAsia="黑体"/>
                                      <w:sz w:val="18"/>
                                      <w:szCs w:val="21"/>
                                    </w:rPr>
                                    <w:t>图5：</w:t>
                                  </w:r>
                                  <w:r>
                                    <w:rPr>
                                      <w:rFonts w:hint="eastAsia" w:ascii="黑体" w:hAnsi="黑体" w:eastAsia="黑体"/>
                                      <w:sz w:val="18"/>
                                      <w:szCs w:val="18"/>
                                    </w:rPr>
                                    <w:t>多管式贯流式锅炉</w:t>
                                  </w:r>
                                  <w:r>
                                    <w:rPr>
                                      <w:rFonts w:ascii="黑体" w:hAnsi="黑体" w:eastAsia="黑体"/>
                                      <w:sz w:val="18"/>
                                      <w:szCs w:val="18"/>
                                    </w:rPr>
                                    <w:t>工艺流程及产污环节图</w:t>
                                  </w:r>
                                </w:p>
                                <w:p>
                                  <w:pPr>
                                    <w:jc w:val="center"/>
                                    <w:rPr>
                                      <w:rFonts w:ascii="黑体" w:hAnsi="黑体" w:eastAsia="黑体"/>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56.25pt;height:21.2pt;width:206.25pt;z-index:251670528;mso-width-relative:page;mso-height-relative:page;" filled="f" stroked="f" coordsize="21600,21600" o:gfxdata="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5SjdsAAAALAQAADwAAAAAAAAABACAA&#10;AAAiAAAAZHJzL2Rvd25yZXYueG1sUEsBAhQAFAAAAAgAh07iQD1VVxRDAgAAdgQAAA4AAAAAAAAA&#10;AQAgAAAAKgEAAGRycy9lMm9Eb2MueG1sUEsFBgAAAAAGAAYAWQEAAN8FAAAAAA==&#10;">
                      <v:fill on="f" focussize="0,0"/>
                      <v:stroke on="f" weight="0.5pt"/>
                      <v:imagedata o:title=""/>
                      <o:lock v:ext="edit" aspectratio="f"/>
                      <v:textbox>
                        <w:txbxContent>
                          <w:p>
                            <w:r>
                              <w:rPr>
                                <w:rFonts w:hint="eastAsia" w:ascii="黑体" w:hAnsi="黑体" w:eastAsia="黑体"/>
                                <w:sz w:val="18"/>
                                <w:szCs w:val="21"/>
                              </w:rPr>
                              <w:t>图5：</w:t>
                            </w:r>
                            <w:r>
                              <w:rPr>
                                <w:rFonts w:hint="eastAsia" w:ascii="黑体" w:hAnsi="黑体" w:eastAsia="黑体"/>
                                <w:sz w:val="18"/>
                                <w:szCs w:val="18"/>
                              </w:rPr>
                              <w:t>多管式贯流式锅炉</w:t>
                            </w:r>
                            <w:r>
                              <w:rPr>
                                <w:rFonts w:ascii="黑体" w:hAnsi="黑体" w:eastAsia="黑体"/>
                                <w:sz w:val="18"/>
                                <w:szCs w:val="18"/>
                              </w:rPr>
                              <w:t>工艺流程及产污环节图</w:t>
                            </w:r>
                          </w:p>
                          <w:p>
                            <w:pPr>
                              <w:jc w:val="center"/>
                              <w:rPr>
                                <w:rFonts w:ascii="黑体" w:hAnsi="黑体" w:eastAsia="黑体"/>
                                <w:sz w:val="18"/>
                                <w:szCs w:val="21"/>
                              </w:rPr>
                            </w:pPr>
                          </w:p>
                        </w:txbxContent>
                      </v:textbox>
                    </v:shape>
                  </w:pict>
                </mc:Fallback>
              </mc:AlternateContent>
            </w:r>
            <w:r>
              <w:drawing>
                <wp:inline distT="0" distB="0" distL="0" distR="0">
                  <wp:extent cx="4940300" cy="2001520"/>
                  <wp:effectExtent l="0" t="0" r="0" b="0"/>
                  <wp:docPr id="9" name="图片 9" descr="C:\Users\Administrator\AppData\Local\Temp\ksohtml4916\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ksohtml4916\wp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40300" cy="2001832"/>
                          </a:xfrm>
                          <a:prstGeom prst="rect">
                            <a:avLst/>
                          </a:prstGeom>
                          <a:noFill/>
                          <a:ln>
                            <a:noFill/>
                          </a:ln>
                        </pic:spPr>
                      </pic:pic>
                    </a:graphicData>
                  </a:graphic>
                </wp:inline>
              </w:drawing>
            </w:r>
          </w:p>
          <w:p>
            <w:pPr>
              <w:autoSpaceDE w:val="0"/>
              <w:autoSpaceDN w:val="0"/>
              <w:adjustRightInd w:val="0"/>
              <w:snapToGrid w:val="0"/>
              <w:spacing w:line="410" w:lineRule="exact"/>
              <w:ind w:firstLine="420" w:firstLineChars="200"/>
              <w:jc w:val="left"/>
              <w:rPr>
                <w:kern w:val="0"/>
                <w:szCs w:val="21"/>
              </w:rPr>
            </w:pPr>
          </w:p>
          <w:p>
            <w:pPr>
              <w:autoSpaceDE w:val="0"/>
              <w:autoSpaceDN w:val="0"/>
              <w:adjustRightInd w:val="0"/>
              <w:snapToGrid w:val="0"/>
              <w:spacing w:line="390" w:lineRule="exact"/>
              <w:ind w:firstLine="422" w:firstLineChars="200"/>
              <w:jc w:val="left"/>
              <w:rPr>
                <w:b/>
                <w:bCs/>
                <w:kern w:val="0"/>
              </w:rPr>
            </w:pPr>
            <w:r>
              <w:rPr>
                <w:rFonts w:ascii="宋体" w:hAnsi="宋体"/>
                <w:b/>
                <w:bCs/>
                <w:kern w:val="0"/>
              </w:rPr>
              <w:t>锅炉设备简介：</w:t>
            </w:r>
          </w:p>
          <w:p>
            <w:pPr>
              <w:autoSpaceDE w:val="0"/>
              <w:autoSpaceDN w:val="0"/>
              <w:adjustRightInd w:val="0"/>
              <w:snapToGrid w:val="0"/>
              <w:spacing w:line="390" w:lineRule="exact"/>
              <w:ind w:firstLine="420" w:firstLineChars="200"/>
              <w:jc w:val="left"/>
              <w:rPr>
                <w:kern w:val="0"/>
              </w:rPr>
            </w:pPr>
            <w:r>
              <w:rPr>
                <w:rFonts w:ascii="宋体" w:hAnsi="宋体"/>
                <w:kern w:val="0"/>
              </w:rPr>
              <w:t>多管式贯流式锅是由上下两环形集箱，中间垂直的水管连接构成，不带汽包，因此所含能量较小，但蒸发强度极高。锅炉主要设备包括：上下集箱、炉膛、燃烧器、节能器、减温减压装置等。全套锅炉及燃烧系统联成一体，采用全自动控制，整套锅炉运行系统包括水汽流程和烟气流程两部分。</w:t>
            </w:r>
          </w:p>
          <w:p>
            <w:pPr>
              <w:autoSpaceDE w:val="0"/>
              <w:autoSpaceDN w:val="0"/>
              <w:adjustRightInd w:val="0"/>
              <w:snapToGrid w:val="0"/>
              <w:spacing w:line="390" w:lineRule="exact"/>
              <w:ind w:firstLine="422" w:firstLineChars="200"/>
              <w:jc w:val="left"/>
              <w:rPr>
                <w:b/>
                <w:bCs/>
                <w:kern w:val="0"/>
              </w:rPr>
            </w:pPr>
            <w:r>
              <w:rPr>
                <w:rFonts w:hint="eastAsia" w:ascii="宋体" w:hAnsi="宋体" w:cs="宋体"/>
                <w:b/>
                <w:bCs/>
                <w:kern w:val="0"/>
              </w:rPr>
              <w:t>①</w:t>
            </w:r>
            <w:r>
              <w:rPr>
                <w:rFonts w:ascii="宋体" w:hAnsi="宋体"/>
                <w:b/>
                <w:bCs/>
                <w:kern w:val="0"/>
              </w:rPr>
              <w:t>水汽流程</w:t>
            </w:r>
          </w:p>
          <w:p>
            <w:pPr>
              <w:autoSpaceDE w:val="0"/>
              <w:autoSpaceDN w:val="0"/>
              <w:adjustRightInd w:val="0"/>
              <w:snapToGrid w:val="0"/>
              <w:spacing w:line="390" w:lineRule="exact"/>
              <w:ind w:firstLine="420" w:firstLineChars="200"/>
              <w:jc w:val="left"/>
              <w:rPr>
                <w:kern w:val="0"/>
              </w:rPr>
            </w:pPr>
            <w:r>
              <w:rPr>
                <w:rFonts w:ascii="宋体" w:hAnsi="宋体"/>
                <w:kern w:val="0"/>
              </w:rPr>
              <w:t>经</w:t>
            </w:r>
            <w:r>
              <w:rPr>
                <w:rFonts w:hint="eastAsia" w:ascii="宋体" w:hAnsi="宋体"/>
                <w:kern w:val="0"/>
              </w:rPr>
              <w:t>软水</w:t>
            </w:r>
            <w:r>
              <w:rPr>
                <w:rFonts w:ascii="宋体" w:hAnsi="宋体"/>
                <w:kern w:val="0"/>
              </w:rPr>
              <w:t>系统制取的</w:t>
            </w:r>
            <w:r>
              <w:rPr>
                <w:rFonts w:hint="eastAsia" w:ascii="宋体" w:hAnsi="宋体"/>
                <w:kern w:val="0"/>
              </w:rPr>
              <w:t>软</w:t>
            </w:r>
            <w:r>
              <w:rPr>
                <w:rFonts w:ascii="宋体" w:hAnsi="宋体"/>
                <w:kern w:val="0"/>
              </w:rPr>
              <w:t>水进入锅炉水箱暂存，锅炉运行时，从锅炉水箱流出的</w:t>
            </w:r>
            <w:r>
              <w:rPr>
                <w:rFonts w:hint="eastAsia" w:ascii="宋体" w:hAnsi="宋体"/>
                <w:kern w:val="0"/>
              </w:rPr>
              <w:t>软</w:t>
            </w:r>
            <w:r>
              <w:rPr>
                <w:rFonts w:ascii="宋体" w:hAnsi="宋体"/>
                <w:kern w:val="0"/>
              </w:rPr>
              <w:t>水作为锅炉给水，由锅炉给水泵送入节能器受热面内进行预热，水经过节能器受热，水温升高成为饱和水，继续加热即蒸发成饱和蒸汽，然后通过蒸汽出口接入厂区内蒸汽管网，供生产系统热用户使用。</w:t>
            </w:r>
          </w:p>
          <w:p>
            <w:pPr>
              <w:autoSpaceDE w:val="0"/>
              <w:autoSpaceDN w:val="0"/>
              <w:adjustRightInd w:val="0"/>
              <w:snapToGrid w:val="0"/>
              <w:spacing w:line="390" w:lineRule="exact"/>
              <w:ind w:firstLine="422" w:firstLineChars="200"/>
              <w:jc w:val="left"/>
              <w:rPr>
                <w:kern w:val="0"/>
              </w:rPr>
            </w:pPr>
            <w:r>
              <w:rPr>
                <w:rFonts w:ascii="宋体" w:hAnsi="宋体"/>
                <w:b/>
                <w:bCs/>
                <w:kern w:val="0"/>
              </w:rPr>
              <w:t>上下集箱</w:t>
            </w:r>
            <w:r>
              <w:rPr>
                <w:rFonts w:ascii="宋体" w:hAnsi="宋体"/>
                <w:kern w:val="0"/>
              </w:rPr>
              <w:t>：上集箱位于炉管上部，主要作用是汇集上升管束的水汽混合物，通过导管</w:t>
            </w:r>
            <w:r>
              <w:rPr>
                <w:rFonts w:hint="eastAsia" w:ascii="宋体" w:hAnsi="宋体"/>
                <w:kern w:val="0"/>
                <w:lang w:eastAsia="zh-CN"/>
              </w:rPr>
              <w:t>引入</w:t>
            </w:r>
            <w:r>
              <w:rPr>
                <w:rFonts w:ascii="宋体" w:hAnsi="宋体"/>
                <w:kern w:val="0"/>
              </w:rPr>
              <w:t>上锅筒；下集箱位于炉管的下部，与下锅筒连接供水、分配给上升炉管。通过上下集箱及管道连接，建立水的循环，保证工质流通顺畅。</w:t>
            </w:r>
          </w:p>
          <w:p>
            <w:pPr>
              <w:autoSpaceDE w:val="0"/>
              <w:autoSpaceDN w:val="0"/>
              <w:adjustRightInd w:val="0"/>
              <w:snapToGrid w:val="0"/>
              <w:spacing w:line="390" w:lineRule="exact"/>
              <w:ind w:firstLine="422" w:firstLineChars="200"/>
              <w:jc w:val="left"/>
              <w:rPr>
                <w:kern w:val="0"/>
              </w:rPr>
            </w:pPr>
            <w:r>
              <w:rPr>
                <w:rFonts w:ascii="宋体" w:hAnsi="宋体"/>
                <w:b/>
                <w:bCs/>
                <w:kern w:val="0"/>
              </w:rPr>
              <w:t>炉膛</w:t>
            </w:r>
            <w:r>
              <w:rPr>
                <w:rFonts w:ascii="宋体" w:hAnsi="宋体"/>
                <w:kern w:val="0"/>
              </w:rPr>
              <w:t>：炉膛是由一个炉墙包围起来，供燃料燃烧传热的主体空间，燃料在该空间内燃烧，释放出大量的热量。锅炉炉膛一般采用负压运行方式，通过烟道尾部设置的引风机被压抽吸保持炉膛工作压力在</w:t>
            </w:r>
            <w:r>
              <w:rPr>
                <w:kern w:val="0"/>
              </w:rPr>
              <w:t>-40~-60pa</w:t>
            </w:r>
            <w:r>
              <w:rPr>
                <w:rFonts w:ascii="宋体" w:hAnsi="宋体"/>
                <w:kern w:val="0"/>
              </w:rPr>
              <w:t>。</w:t>
            </w:r>
          </w:p>
          <w:p>
            <w:pPr>
              <w:autoSpaceDE w:val="0"/>
              <w:autoSpaceDN w:val="0"/>
              <w:adjustRightInd w:val="0"/>
              <w:snapToGrid w:val="0"/>
              <w:spacing w:line="390" w:lineRule="exact"/>
              <w:ind w:firstLine="422" w:firstLineChars="200"/>
              <w:jc w:val="left"/>
              <w:rPr>
                <w:kern w:val="0"/>
              </w:rPr>
            </w:pPr>
            <w:r>
              <w:rPr>
                <w:rFonts w:ascii="宋体" w:hAnsi="宋体"/>
                <w:b/>
                <w:bCs/>
                <w:kern w:val="0"/>
              </w:rPr>
              <w:t>燃烧器</w:t>
            </w:r>
            <w:r>
              <w:rPr>
                <w:rFonts w:ascii="宋体" w:hAnsi="宋体"/>
                <w:kern w:val="0"/>
              </w:rPr>
              <w:t>：燃烧器的作用是把燃料和燃烧所需的空气送入炉膛，并良好地混合，使燃料迅速而稳定地着火和燃烧。</w:t>
            </w:r>
            <w:r>
              <w:rPr>
                <w:rFonts w:hint="eastAsia" w:ascii="宋体" w:hAnsi="宋体"/>
                <w:kern w:val="0"/>
              </w:rPr>
              <w:t>根据建设单位提供的资料，</w:t>
            </w:r>
            <w:r>
              <w:rPr>
                <w:rFonts w:ascii="宋体" w:hAnsi="宋体"/>
                <w:kern w:val="0"/>
              </w:rPr>
              <w:t>项目锅炉拟配</w:t>
            </w:r>
            <w:r>
              <w:rPr>
                <w:rFonts w:hint="eastAsia" w:ascii="宋体" w:hAnsi="宋体"/>
                <w:kern w:val="0"/>
              </w:rPr>
              <w:t>套</w:t>
            </w:r>
            <w:r>
              <w:rPr>
                <w:rFonts w:ascii="宋体" w:hAnsi="宋体"/>
                <w:kern w:val="0"/>
              </w:rPr>
              <w:t>低氮燃烧器</w:t>
            </w:r>
            <w:r>
              <w:rPr>
                <w:rFonts w:hint="eastAsia"/>
                <w:kern w:val="0"/>
              </w:rPr>
              <w:t>1</w:t>
            </w:r>
            <w:r>
              <w:rPr>
                <w:rFonts w:hint="eastAsia" w:ascii="宋体" w:hAnsi="宋体"/>
                <w:kern w:val="0"/>
              </w:rPr>
              <w:t>台</w:t>
            </w:r>
            <w:r>
              <w:rPr>
                <w:rFonts w:ascii="宋体" w:hAnsi="宋体"/>
                <w:kern w:val="0"/>
              </w:rPr>
              <w:t>。</w:t>
            </w:r>
          </w:p>
          <w:p>
            <w:pPr>
              <w:autoSpaceDE w:val="0"/>
              <w:autoSpaceDN w:val="0"/>
              <w:adjustRightInd w:val="0"/>
              <w:snapToGrid w:val="0"/>
              <w:spacing w:line="390" w:lineRule="exact"/>
              <w:ind w:firstLine="422" w:firstLineChars="200"/>
              <w:jc w:val="left"/>
              <w:rPr>
                <w:kern w:val="0"/>
              </w:rPr>
            </w:pPr>
            <w:r>
              <w:rPr>
                <w:rFonts w:ascii="宋体" w:hAnsi="宋体"/>
                <w:b/>
                <w:bCs/>
                <w:kern w:val="0"/>
              </w:rPr>
              <w:t>节能器</w:t>
            </w:r>
            <w:r>
              <w:rPr>
                <w:rFonts w:ascii="宋体" w:hAnsi="宋体"/>
                <w:kern w:val="0"/>
              </w:rPr>
              <w:t>：布置在锅炉尾部烟道内，利用锅炉烟气的余热加热锅炉给水的设备，其作用是提高锅炉给水温度，降低锅炉烟气排烟温度，减少排烟热损失，从而提高锅炉的热效率。</w:t>
            </w:r>
          </w:p>
          <w:p>
            <w:pPr>
              <w:autoSpaceDE w:val="0"/>
              <w:autoSpaceDN w:val="0"/>
              <w:adjustRightInd w:val="0"/>
              <w:snapToGrid w:val="0"/>
              <w:spacing w:line="390" w:lineRule="exact"/>
              <w:ind w:firstLine="422" w:firstLineChars="200"/>
              <w:jc w:val="left"/>
              <w:rPr>
                <w:kern w:val="0"/>
              </w:rPr>
            </w:pPr>
            <w:r>
              <w:rPr>
                <w:rFonts w:ascii="宋体" w:hAnsi="宋体"/>
                <w:b/>
                <w:bCs/>
                <w:kern w:val="0"/>
              </w:rPr>
              <w:t>减温减压器</w:t>
            </w:r>
            <w:r>
              <w:rPr>
                <w:rFonts w:ascii="宋体" w:hAnsi="宋体"/>
                <w:kern w:val="0"/>
              </w:rPr>
              <w:t>：减温减压器是将高温高压蒸汽降为能够使用的中温低压蒸汽，供</w:t>
            </w:r>
            <w:r>
              <w:rPr>
                <w:rFonts w:hint="eastAsia" w:ascii="宋体" w:hAnsi="宋体"/>
                <w:kern w:val="0"/>
              </w:rPr>
              <w:t>生产车间产品蒸养</w:t>
            </w:r>
            <w:r>
              <w:rPr>
                <w:rFonts w:ascii="宋体" w:hAnsi="宋体"/>
                <w:kern w:val="0"/>
              </w:rPr>
              <w:t>使用。</w:t>
            </w:r>
          </w:p>
          <w:p>
            <w:pPr>
              <w:autoSpaceDE w:val="0"/>
              <w:autoSpaceDN w:val="0"/>
              <w:adjustRightInd w:val="0"/>
              <w:snapToGrid w:val="0"/>
              <w:spacing w:line="390" w:lineRule="exact"/>
              <w:ind w:firstLine="422" w:firstLineChars="200"/>
              <w:jc w:val="left"/>
              <w:rPr>
                <w:b/>
                <w:bCs/>
                <w:kern w:val="0"/>
              </w:rPr>
            </w:pPr>
            <w:r>
              <w:rPr>
                <w:rFonts w:hint="eastAsia" w:ascii="宋体" w:hAnsi="宋体" w:cs="宋体"/>
                <w:b/>
                <w:bCs/>
                <w:kern w:val="0"/>
              </w:rPr>
              <w:t>②</w:t>
            </w:r>
            <w:r>
              <w:rPr>
                <w:rFonts w:ascii="宋体" w:hAnsi="宋体"/>
                <w:b/>
                <w:bCs/>
                <w:kern w:val="0"/>
              </w:rPr>
              <w:t>烟气流程</w:t>
            </w:r>
          </w:p>
          <w:p>
            <w:pPr>
              <w:autoSpaceDE w:val="0"/>
              <w:autoSpaceDN w:val="0"/>
              <w:adjustRightInd w:val="0"/>
              <w:snapToGrid w:val="0"/>
              <w:spacing w:line="390" w:lineRule="exact"/>
              <w:ind w:firstLine="420" w:firstLineChars="200"/>
              <w:jc w:val="left"/>
              <w:rPr>
                <w:kern w:val="0"/>
              </w:rPr>
            </w:pPr>
            <w:r>
              <w:rPr>
                <w:rFonts w:ascii="宋体" w:hAnsi="宋体"/>
                <w:kern w:val="0"/>
              </w:rPr>
              <w:t>可燃气体通过阀门组经调压后进入锅炉燃烧器，在燃烧器的燃烧头部与加压空气强制混合，经高压点火后在炉膛内产生火焰，开始燃烧。燃料燃烧产生的热量主要以辐射的形式传递给锅炉炉体内的水，其余热量的大部分由高温烟气以对流方式传给对流管束内的水，换热后的烟气经锅炉本体后部出口进入节能器，烟气以对流方式传给节能器管束内的水，然后低温烟气由节能器出口烟道排入烟囱，经烟囱排到大气。</w:t>
            </w:r>
          </w:p>
          <w:p>
            <w:pPr>
              <w:autoSpaceDE w:val="0"/>
              <w:autoSpaceDN w:val="0"/>
              <w:adjustRightInd w:val="0"/>
              <w:snapToGrid w:val="0"/>
              <w:spacing w:line="390" w:lineRule="exact"/>
              <w:ind w:firstLine="422" w:firstLineChars="200"/>
              <w:jc w:val="left"/>
              <w:rPr>
                <w:kern w:val="0"/>
              </w:rPr>
            </w:pPr>
            <w:r>
              <w:rPr>
                <w:rFonts w:hint="eastAsia" w:ascii="宋体" w:hAnsi="宋体" w:cs="宋体"/>
                <w:b/>
                <w:bCs/>
                <w:kern w:val="0"/>
              </w:rPr>
              <w:t>③</w:t>
            </w:r>
            <w:r>
              <w:rPr>
                <w:rFonts w:ascii="宋体" w:hAnsi="宋体"/>
                <w:b/>
                <w:bCs/>
                <w:kern w:val="0"/>
              </w:rPr>
              <w:t>锅炉燃烧方式</w:t>
            </w:r>
          </w:p>
          <w:p>
            <w:pPr>
              <w:autoSpaceDE w:val="0"/>
              <w:autoSpaceDN w:val="0"/>
              <w:adjustRightInd w:val="0"/>
              <w:snapToGrid w:val="0"/>
              <w:spacing w:line="390" w:lineRule="exact"/>
              <w:ind w:firstLine="420" w:firstLineChars="200"/>
              <w:jc w:val="left"/>
              <w:rPr>
                <w:kern w:val="0"/>
              </w:rPr>
            </w:pPr>
            <w:r>
              <w:rPr>
                <w:rFonts w:ascii="宋体" w:hAnsi="宋体"/>
                <w:kern w:val="0"/>
              </w:rPr>
              <w:t>本项目拟购置的</w:t>
            </w:r>
            <w:r>
              <w:rPr>
                <w:kern w:val="0"/>
              </w:rPr>
              <w:t>CZI</w:t>
            </w:r>
            <w:r>
              <w:rPr>
                <w:rFonts w:ascii="宋体" w:hAnsi="宋体"/>
                <w:kern w:val="0"/>
              </w:rPr>
              <w:t>贯流式锅炉燃烧方式为扩散式燃烧，本次新建燃气锅炉拟配置分体式低氮燃烧器，低氮燃烧器的工作原理为：将空气分级及燃料分级应用于燃烧器，采用独特的燃烧设计，并通过</w:t>
            </w:r>
            <w:r>
              <w:rPr>
                <w:kern w:val="0"/>
              </w:rPr>
              <w:t>BMS</w:t>
            </w:r>
            <w:r>
              <w:rPr>
                <w:rFonts w:ascii="宋体" w:hAnsi="宋体"/>
                <w:kern w:val="0"/>
              </w:rPr>
              <w:t>控制，保持适当的低过剩空气系数，降低燃烧过程中的氧气供应量，</w:t>
            </w:r>
            <w:r>
              <w:rPr>
                <w:rFonts w:hint="eastAsia" w:ascii="宋体" w:hAnsi="宋体"/>
                <w:kern w:val="0"/>
                <w:lang w:eastAsia="zh-CN"/>
              </w:rPr>
              <w:t>尽可能地降低</w:t>
            </w:r>
            <w:r>
              <w:rPr>
                <w:rFonts w:ascii="宋体" w:hAnsi="宋体"/>
                <w:kern w:val="0"/>
              </w:rPr>
              <w:t>着火区的氧浓度和温度，既抑制了</w:t>
            </w:r>
            <w:r>
              <w:rPr>
                <w:kern w:val="0"/>
              </w:rPr>
              <w:t>NOx</w:t>
            </w:r>
            <w:r>
              <w:rPr>
                <w:rFonts w:ascii="宋体" w:hAnsi="宋体"/>
                <w:kern w:val="0"/>
              </w:rPr>
              <w:t>生成反应，又提高了锅炉热效率，从而达到控制氮氧化物生成量的目的。</w:t>
            </w:r>
          </w:p>
          <w:p>
            <w:pPr>
              <w:autoSpaceDE w:val="0"/>
              <w:autoSpaceDN w:val="0"/>
              <w:adjustRightInd w:val="0"/>
              <w:snapToGrid w:val="0"/>
              <w:spacing w:line="390" w:lineRule="exact"/>
              <w:ind w:firstLine="422" w:firstLineChars="200"/>
              <w:jc w:val="left"/>
              <w:rPr>
                <w:kern w:val="0"/>
              </w:rPr>
            </w:pPr>
            <w:r>
              <w:rPr>
                <w:rFonts w:hint="eastAsia" w:ascii="宋体" w:hAnsi="宋体"/>
                <w:b/>
                <w:bCs/>
                <w:kern w:val="0"/>
              </w:rPr>
              <w:t>软</w:t>
            </w:r>
            <w:r>
              <w:rPr>
                <w:rFonts w:ascii="宋体" w:hAnsi="宋体"/>
                <w:b/>
                <w:bCs/>
                <w:kern w:val="0"/>
              </w:rPr>
              <w:t>水制备系统简介</w:t>
            </w:r>
            <w:r>
              <w:rPr>
                <w:rFonts w:ascii="宋体" w:hAnsi="宋体"/>
                <w:kern w:val="0"/>
              </w:rPr>
              <w:t>：</w:t>
            </w:r>
          </w:p>
          <w:p>
            <w:pPr>
              <w:autoSpaceDE w:val="0"/>
              <w:autoSpaceDN w:val="0"/>
              <w:adjustRightInd w:val="0"/>
              <w:snapToGrid w:val="0"/>
              <w:spacing w:line="390" w:lineRule="exact"/>
              <w:ind w:firstLine="420" w:firstLineChars="200"/>
              <w:jc w:val="left"/>
              <w:rPr>
                <w:kern w:val="0"/>
              </w:rPr>
            </w:pPr>
            <w:r>
              <w:rPr>
                <w:rFonts w:ascii="宋体" w:hAnsi="宋体"/>
                <w:kern w:val="0"/>
              </w:rPr>
              <w:t>本次新建燃气锅炉给水系统拟统采用</w:t>
            </w:r>
            <w:r>
              <w:rPr>
                <w:kern w:val="0"/>
              </w:rPr>
              <w:t>“</w:t>
            </w:r>
            <w:r>
              <w:rPr>
                <w:rFonts w:ascii="宋体" w:hAnsi="宋体"/>
                <w:kern w:val="0"/>
              </w:rPr>
              <w:t>离子交换树脂</w:t>
            </w:r>
            <w:r>
              <w:rPr>
                <w:kern w:val="0"/>
              </w:rPr>
              <w:t>”</w:t>
            </w:r>
            <w:r>
              <w:rPr>
                <w:rFonts w:ascii="宋体" w:hAnsi="宋体"/>
                <w:kern w:val="0"/>
              </w:rPr>
              <w:t>的处理工艺，为一体化设备，程序控制运行，其主要工作过程为：原水经原水泵提升至钠离子交换罐，水中的钙、镁离子被离子交换树脂交换吸附，同时等物质量释放出钠离子，从而使出水软化。当树脂吸收一定量的钙、镁离子后，就必须进行再生。再生采用食盐水冲洗树脂层，把树脂上的硬度离子再置换出来，随再生废液排出罐外，树脂恢复软化交换能力。盐水每</w:t>
            </w:r>
            <w:r>
              <w:rPr>
                <w:rFonts w:hint="eastAsia" w:ascii="宋体" w:hAnsi="宋体"/>
                <w:kern w:val="0"/>
              </w:rPr>
              <w:t>净化</w:t>
            </w:r>
            <w:r>
              <w:rPr>
                <w:rFonts w:hint="eastAsia"/>
                <w:kern w:val="0"/>
              </w:rPr>
              <w:t>60m</w:t>
            </w:r>
            <w:r>
              <w:rPr>
                <w:rFonts w:hint="eastAsia"/>
                <w:kern w:val="0"/>
                <w:vertAlign w:val="superscript"/>
              </w:rPr>
              <w:t>3</w:t>
            </w:r>
            <w:r>
              <w:rPr>
                <w:rFonts w:hint="eastAsia" w:ascii="宋体" w:hAnsi="宋体"/>
                <w:kern w:val="0"/>
              </w:rPr>
              <w:t>纯水</w:t>
            </w:r>
            <w:r>
              <w:rPr>
                <w:rFonts w:ascii="宋体" w:hAnsi="宋体"/>
                <w:kern w:val="0"/>
              </w:rPr>
              <w:t>再生一次，每次</w:t>
            </w:r>
            <w:r>
              <w:rPr>
                <w:rFonts w:hint="eastAsia" w:ascii="宋体" w:hAnsi="宋体"/>
                <w:kern w:val="0"/>
              </w:rPr>
              <w:t>消耗再生盐约</w:t>
            </w:r>
            <w:r>
              <w:rPr>
                <w:rFonts w:hint="eastAsia"/>
                <w:kern w:val="0"/>
              </w:rPr>
              <w:t>24kg</w:t>
            </w:r>
            <w:r>
              <w:rPr>
                <w:rFonts w:hint="eastAsia" w:ascii="宋体" w:hAnsi="宋体"/>
                <w:kern w:val="0"/>
              </w:rPr>
              <w:t>，产生再生废水</w:t>
            </w:r>
            <w:r>
              <w:rPr>
                <w:rFonts w:hint="eastAsia"/>
                <w:kern w:val="0"/>
              </w:rPr>
              <w:t>1.32L</w:t>
            </w:r>
            <w:r>
              <w:rPr>
                <w:rFonts w:ascii="宋体" w:hAnsi="宋体"/>
                <w:kern w:val="0"/>
              </w:rPr>
              <w:t>。</w:t>
            </w:r>
          </w:p>
          <w:p>
            <w:pPr>
              <w:autoSpaceDE w:val="0"/>
              <w:autoSpaceDN w:val="0"/>
              <w:adjustRightInd w:val="0"/>
              <w:snapToGrid w:val="0"/>
              <w:spacing w:line="390" w:lineRule="exact"/>
              <w:ind w:firstLine="422" w:firstLineChars="200"/>
              <w:jc w:val="left"/>
              <w:rPr>
                <w:b/>
                <w:bCs/>
                <w:kern w:val="0"/>
              </w:rPr>
            </w:pPr>
            <w:r>
              <w:rPr>
                <w:rFonts w:ascii="宋体" w:hAnsi="宋体"/>
                <w:b/>
                <w:bCs/>
                <w:kern w:val="0"/>
              </w:rPr>
              <w:t>（</w:t>
            </w:r>
            <w:r>
              <w:rPr>
                <w:rFonts w:hint="eastAsia"/>
                <w:b/>
                <w:bCs/>
                <w:kern w:val="0"/>
              </w:rPr>
              <w:t>2</w:t>
            </w:r>
            <w:r>
              <w:rPr>
                <w:rFonts w:ascii="宋体" w:hAnsi="宋体"/>
                <w:b/>
                <w:bCs/>
                <w:kern w:val="0"/>
              </w:rPr>
              <w:t>）</w:t>
            </w:r>
            <w:r>
              <w:rPr>
                <w:rFonts w:hint="eastAsia" w:ascii="宋体" w:hAnsi="宋体"/>
                <w:b/>
                <w:bCs/>
                <w:kern w:val="0"/>
              </w:rPr>
              <w:t>产污环节</w:t>
            </w:r>
          </w:p>
          <w:p>
            <w:pPr>
              <w:autoSpaceDE w:val="0"/>
              <w:autoSpaceDN w:val="0"/>
              <w:adjustRightInd w:val="0"/>
              <w:snapToGrid w:val="0"/>
              <w:spacing w:line="390" w:lineRule="exact"/>
              <w:ind w:firstLine="420" w:firstLineChars="200"/>
              <w:jc w:val="left"/>
              <w:rPr>
                <w:kern w:val="0"/>
              </w:rPr>
            </w:pPr>
            <w:r>
              <w:rPr>
                <w:rFonts w:ascii="宋体" w:hAnsi="宋体"/>
                <w:kern w:val="0"/>
              </w:rPr>
              <w:t>废气：主要为燃气锅炉燃烧废气，主要污染物为颗粒物、</w:t>
            </w:r>
            <w:r>
              <w:rPr>
                <w:kern w:val="0"/>
              </w:rPr>
              <w:t>NOx</w:t>
            </w:r>
            <w:r>
              <w:rPr>
                <w:rFonts w:ascii="宋体" w:hAnsi="宋体"/>
                <w:kern w:val="0"/>
              </w:rPr>
              <w:t>和</w:t>
            </w:r>
            <w:r>
              <w:rPr>
                <w:kern w:val="0"/>
              </w:rPr>
              <w:t>SO</w:t>
            </w:r>
            <w:r>
              <w:rPr>
                <w:kern w:val="0"/>
                <w:vertAlign w:val="subscript"/>
              </w:rPr>
              <w:t>2</w:t>
            </w:r>
            <w:r>
              <w:rPr>
                <w:rFonts w:ascii="宋体" w:hAnsi="宋体"/>
                <w:kern w:val="0"/>
              </w:rPr>
              <w:t>。</w:t>
            </w:r>
          </w:p>
          <w:p>
            <w:pPr>
              <w:autoSpaceDE w:val="0"/>
              <w:autoSpaceDN w:val="0"/>
              <w:adjustRightInd w:val="0"/>
              <w:snapToGrid w:val="0"/>
              <w:spacing w:line="390" w:lineRule="exact"/>
              <w:ind w:firstLine="420" w:firstLineChars="200"/>
              <w:jc w:val="left"/>
              <w:rPr>
                <w:kern w:val="0"/>
              </w:rPr>
            </w:pPr>
            <w:r>
              <w:rPr>
                <w:rFonts w:ascii="宋体" w:hAnsi="宋体"/>
                <w:kern w:val="0"/>
              </w:rPr>
              <w:t>废水：</w:t>
            </w:r>
            <w:r>
              <w:rPr>
                <w:rFonts w:hint="eastAsia" w:ascii="宋体" w:hAnsi="宋体"/>
                <w:kern w:val="0"/>
              </w:rPr>
              <w:t>项目不新增员工，在厂内现有员工调剂，无新增生活污水；锅炉营运过程中产生少量锅炉排污废水和离子再生废水</w:t>
            </w:r>
            <w:r>
              <w:rPr>
                <w:rFonts w:ascii="宋体" w:hAnsi="宋体"/>
                <w:kern w:val="0"/>
              </w:rPr>
              <w:t>。</w:t>
            </w:r>
          </w:p>
          <w:p>
            <w:pPr>
              <w:autoSpaceDE w:val="0"/>
              <w:autoSpaceDN w:val="0"/>
              <w:adjustRightInd w:val="0"/>
              <w:snapToGrid w:val="0"/>
              <w:spacing w:line="390" w:lineRule="exact"/>
              <w:ind w:firstLine="420" w:firstLineChars="200"/>
              <w:jc w:val="left"/>
              <w:rPr>
                <w:rFonts w:ascii="宋体" w:hAnsi="宋体"/>
                <w:kern w:val="0"/>
              </w:rPr>
            </w:pPr>
            <w:r>
              <w:rPr>
                <w:rFonts w:ascii="宋体" w:hAnsi="宋体"/>
                <w:kern w:val="0"/>
              </w:rPr>
              <w:t>噪声：主要为锅炉燃烧器产生的空气动力噪声和鼓（引）风机</w:t>
            </w:r>
            <w:r>
              <w:rPr>
                <w:rFonts w:hint="eastAsia" w:ascii="宋体" w:hAnsi="宋体"/>
                <w:kern w:val="0"/>
                <w:lang w:eastAsia="zh-CN"/>
              </w:rPr>
              <w:t>，以及</w:t>
            </w:r>
            <w:r>
              <w:rPr>
                <w:rFonts w:ascii="宋体" w:hAnsi="宋体"/>
                <w:kern w:val="0"/>
              </w:rPr>
              <w:t>水泵等机械设备运行时产生的机械噪声。</w:t>
            </w:r>
          </w:p>
          <w:p>
            <w:pPr>
              <w:autoSpaceDE w:val="0"/>
              <w:autoSpaceDN w:val="0"/>
              <w:adjustRightInd w:val="0"/>
              <w:snapToGrid w:val="0"/>
              <w:spacing w:line="390" w:lineRule="exact"/>
              <w:ind w:firstLine="420" w:firstLineChars="200"/>
              <w:jc w:val="left"/>
              <w:rPr>
                <w:rFonts w:ascii="宋体" w:hAnsi="宋体"/>
                <w:kern w:val="0"/>
              </w:rPr>
            </w:pPr>
            <w:r>
              <w:rPr>
                <w:rFonts w:ascii="宋体" w:hAnsi="宋体"/>
                <w:kern w:val="0"/>
              </w:rPr>
              <w:t>固体废物：主要为</w:t>
            </w:r>
            <w:r>
              <w:rPr>
                <w:rFonts w:hint="eastAsia" w:ascii="宋体" w:hAnsi="宋体"/>
                <w:kern w:val="0"/>
              </w:rPr>
              <w:t>更换的废离子交换树脂等</w:t>
            </w:r>
            <w:r>
              <w:rPr>
                <w:rFonts w:ascii="宋体" w:hAnsi="宋体"/>
                <w:kern w:val="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718" w:type="dxa"/>
            <w:tcBorders>
              <w:top w:val="single" w:color="auto" w:sz="4" w:space="0"/>
              <w:left w:val="single" w:color="auto" w:sz="8" w:space="0"/>
              <w:bottom w:val="single" w:color="auto" w:sz="8" w:space="0"/>
              <w:right w:val="single" w:color="auto" w:sz="4" w:space="0"/>
            </w:tcBorders>
            <w:vAlign w:val="center"/>
          </w:tcPr>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r>
              <w:rPr>
                <w:rFonts w:ascii="Times New Roman" w:hAnsi="Times New Roman" w:cs="Times New Roman"/>
                <w:bCs/>
                <w:sz w:val="21"/>
                <w:szCs w:val="21"/>
              </w:rPr>
              <w:t>与项目有关的原有环境污染问题</w:t>
            </w:r>
          </w:p>
          <w:p>
            <w:pPr>
              <w:pStyle w:val="19"/>
              <w:adjustRightInd w:val="0"/>
              <w:snapToGrid w:val="0"/>
              <w:spacing w:before="0" w:beforeAutospacing="0" w:after="0" w:afterAutospacing="0" w:line="240" w:lineRule="exact"/>
              <w:jc w:val="center"/>
              <w:rPr>
                <w:rFonts w:ascii="Times New Roman" w:hAnsi="Times New Roman" w:cs="Times New Roman"/>
                <w:bCs/>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240" w:lineRule="exact"/>
              <w:jc w:val="center"/>
              <w:rPr>
                <w:rFonts w:ascii="Times New Roman" w:hAnsi="Times New Roman" w:cs="Times New Roman"/>
                <w:sz w:val="21"/>
                <w:szCs w:val="21"/>
              </w:rPr>
            </w:pPr>
          </w:p>
          <w:p>
            <w:pPr>
              <w:pStyle w:val="19"/>
              <w:adjustRightInd w:val="0"/>
              <w:snapToGrid w:val="0"/>
              <w:spacing w:before="0" w:beforeAutospacing="0" w:after="0" w:afterAutospacing="0" w:line="100" w:lineRule="exact"/>
              <w:jc w:val="center"/>
              <w:rPr>
                <w:rFonts w:ascii="Times New Roman" w:hAnsi="Times New Roman" w:cs="Times New Roman"/>
                <w:sz w:val="21"/>
                <w:szCs w:val="21"/>
              </w:rPr>
            </w:pPr>
          </w:p>
        </w:tc>
        <w:tc>
          <w:tcPr>
            <w:tcW w:w="8089"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ind w:firstLine="420" w:firstLineChars="200"/>
              <w:jc w:val="left"/>
              <w:rPr>
                <w:rFonts w:ascii="宋体" w:hAnsi="宋体"/>
                <w:kern w:val="0"/>
              </w:rPr>
            </w:pPr>
            <w:r>
              <w:rPr>
                <w:rFonts w:hint="eastAsia" w:ascii="宋体" w:hAnsi="宋体"/>
                <w:kern w:val="0"/>
              </w:rPr>
              <w:t>达州市通川区洁泰洗涤厂（以下简称“洁泰洗涤厂”）成立于2022年4月12日，主营洗染服务、家政服务，属于服务型企业。洁泰洗涤厂于2022年4月，选址于通川区东岳镇飞井村七组，投资建成了洁泰洗涤厂，主要为达州市范围的酒店等经营场所提供被服洗涤服务，不涉及医用被服洗涤服务。根据建设单位介绍，洁泰洗涤厂目前被服洗涤服务范围主要为达州市城区，年洗涤酒店被服约10万套。</w:t>
            </w:r>
          </w:p>
          <w:p>
            <w:pPr>
              <w:autoSpaceDE w:val="0"/>
              <w:autoSpaceDN w:val="0"/>
              <w:adjustRightInd w:val="0"/>
              <w:snapToGrid w:val="0"/>
              <w:spacing w:line="400" w:lineRule="exact"/>
              <w:jc w:val="left"/>
              <w:rPr>
                <w:rFonts w:ascii="宋体" w:hAnsi="宋体"/>
                <w:b/>
                <w:kern w:val="0"/>
              </w:rPr>
            </w:pPr>
            <w:r>
              <w:rPr>
                <w:rFonts w:hint="eastAsia" w:ascii="宋体" w:hAnsi="宋体"/>
                <w:b/>
                <w:kern w:val="0"/>
              </w:rPr>
              <w:t>一、项目环保手续情况</w:t>
            </w:r>
          </w:p>
          <w:p>
            <w:pPr>
              <w:autoSpaceDE w:val="0"/>
              <w:autoSpaceDN w:val="0"/>
              <w:adjustRightInd w:val="0"/>
              <w:snapToGrid w:val="0"/>
              <w:spacing w:line="400" w:lineRule="exact"/>
              <w:ind w:firstLine="420" w:firstLineChars="200"/>
              <w:jc w:val="left"/>
            </w:pPr>
            <w:r>
              <w:rPr>
                <w:rFonts w:hint="eastAsia"/>
              </w:rPr>
              <w:t>根据《建设项目环境影响评价分类管理名录（2021年版）》，宾馆饭店及医疗机构衣物集中洗涤项目未纳入环评管理。因此，该项目不需办理环评手续。</w:t>
            </w:r>
          </w:p>
          <w:p>
            <w:pPr>
              <w:autoSpaceDE w:val="0"/>
              <w:autoSpaceDN w:val="0"/>
              <w:adjustRightInd w:val="0"/>
              <w:snapToGrid w:val="0"/>
              <w:spacing w:line="400" w:lineRule="exact"/>
              <w:jc w:val="left"/>
              <w:rPr>
                <w:b/>
              </w:rPr>
            </w:pPr>
            <w:r>
              <w:rPr>
                <w:rFonts w:hint="eastAsia"/>
              </w:rPr>
              <w:t>二、</w:t>
            </w:r>
            <w:r>
              <w:rPr>
                <w:rFonts w:hint="eastAsia"/>
                <w:b/>
              </w:rPr>
              <w:t>污染治理措施</w:t>
            </w:r>
          </w:p>
          <w:p>
            <w:pPr>
              <w:autoSpaceDE w:val="0"/>
              <w:autoSpaceDN w:val="0"/>
              <w:adjustRightInd w:val="0"/>
              <w:snapToGrid w:val="0"/>
              <w:spacing w:line="400" w:lineRule="exact"/>
              <w:ind w:firstLine="420" w:firstLineChars="200"/>
              <w:jc w:val="left"/>
            </w:pPr>
            <w:r>
              <w:rPr>
                <w:rFonts w:hint="eastAsia"/>
              </w:rPr>
              <w:t>1、废气</w:t>
            </w:r>
          </w:p>
          <w:p>
            <w:pPr>
              <w:autoSpaceDE w:val="0"/>
              <w:autoSpaceDN w:val="0"/>
              <w:adjustRightInd w:val="0"/>
              <w:snapToGrid w:val="0"/>
              <w:spacing w:line="400" w:lineRule="exact"/>
              <w:ind w:firstLine="420" w:firstLineChars="200"/>
              <w:jc w:val="left"/>
            </w:pPr>
            <w:r>
              <w:rPr>
                <w:rFonts w:hint="eastAsia"/>
              </w:rPr>
              <w:t>洁泰洗涤厂营运过程的废气产生环节主要为配套员工食堂的油烟。通过设置抽油烟机净化后，引至室外排放。</w:t>
            </w:r>
          </w:p>
          <w:p>
            <w:pPr>
              <w:autoSpaceDE w:val="0"/>
              <w:autoSpaceDN w:val="0"/>
              <w:adjustRightInd w:val="0"/>
              <w:snapToGrid w:val="0"/>
              <w:spacing w:line="400" w:lineRule="exact"/>
              <w:ind w:firstLine="420" w:firstLineChars="200"/>
              <w:jc w:val="left"/>
            </w:pPr>
            <w:r>
              <w:rPr>
                <w:rFonts w:hint="eastAsia"/>
              </w:rPr>
              <w:t>2、废水</w:t>
            </w:r>
          </w:p>
          <w:p>
            <w:pPr>
              <w:autoSpaceDE w:val="0"/>
              <w:autoSpaceDN w:val="0"/>
              <w:adjustRightInd w:val="0"/>
              <w:snapToGrid w:val="0"/>
              <w:spacing w:line="400" w:lineRule="exact"/>
              <w:ind w:firstLine="420" w:firstLineChars="200"/>
              <w:jc w:val="left"/>
            </w:pPr>
            <w:r>
              <w:rPr>
                <w:rFonts w:hint="eastAsia"/>
              </w:rPr>
              <w:t>主要为被服洗涤过程的洗涤废水、员工产生的少量生活污水。项目洗涤废水通过管道收集至废水处理池，池体总容积约800m</w:t>
            </w:r>
            <w:r>
              <w:rPr>
                <w:rFonts w:hint="eastAsia"/>
                <w:vertAlign w:val="superscript"/>
              </w:rPr>
              <w:t>3</w:t>
            </w:r>
            <w:r>
              <w:rPr>
                <w:rFonts w:hint="eastAsia"/>
              </w:rPr>
              <w:t>，采用絮凝沉淀工艺。处理后的废水达到《污水综合排放标准》(GB8978-1996)Ⅲ级标准后，经自建的两公里污水管网接入东岳场镇污水管网，最终进入东岳场镇污水处理厂处理后达标排入双龙河。生活污水设化粪池预处理后，一同经管网排放，最终进入东岳场镇污水处理厂处理。</w:t>
            </w:r>
          </w:p>
          <w:p>
            <w:pPr>
              <w:autoSpaceDE w:val="0"/>
              <w:autoSpaceDN w:val="0"/>
              <w:adjustRightInd w:val="0"/>
              <w:snapToGrid w:val="0"/>
              <w:spacing w:line="400" w:lineRule="exact"/>
              <w:ind w:firstLine="420" w:firstLineChars="200"/>
              <w:jc w:val="left"/>
            </w:pPr>
            <w:r>
              <w:rPr>
                <w:rFonts w:hint="eastAsia"/>
              </w:rPr>
              <w:t>3、噪声</w:t>
            </w:r>
          </w:p>
          <w:p>
            <w:pPr>
              <w:autoSpaceDE w:val="0"/>
              <w:autoSpaceDN w:val="0"/>
              <w:adjustRightInd w:val="0"/>
              <w:snapToGrid w:val="0"/>
              <w:spacing w:line="400" w:lineRule="exact"/>
              <w:ind w:firstLine="420" w:firstLineChars="200"/>
              <w:jc w:val="left"/>
            </w:pPr>
            <w:r>
              <w:rPr>
                <w:rFonts w:hint="eastAsia"/>
              </w:rPr>
              <w:t>主要为项目营运时各类设备运行的噪声，以及车间通风换气设备的噪声。通过设置封闭式车间，建筑隔声，基础减振等方式，降低对周围环境的污染影响。</w:t>
            </w:r>
          </w:p>
          <w:p>
            <w:pPr>
              <w:autoSpaceDE w:val="0"/>
              <w:autoSpaceDN w:val="0"/>
              <w:adjustRightInd w:val="0"/>
              <w:snapToGrid w:val="0"/>
              <w:spacing w:line="400" w:lineRule="exact"/>
              <w:ind w:firstLine="420" w:firstLineChars="200"/>
              <w:jc w:val="left"/>
            </w:pPr>
            <w:r>
              <w:rPr>
                <w:rFonts w:hint="eastAsia"/>
              </w:rPr>
              <w:t>4、固体废物</w:t>
            </w:r>
          </w:p>
          <w:p>
            <w:pPr>
              <w:autoSpaceDE w:val="0"/>
              <w:autoSpaceDN w:val="0"/>
              <w:adjustRightInd w:val="0"/>
              <w:snapToGrid w:val="0"/>
              <w:spacing w:line="400" w:lineRule="exact"/>
              <w:ind w:firstLine="420" w:firstLineChars="200"/>
              <w:jc w:val="left"/>
            </w:pPr>
            <w:r>
              <w:rPr>
                <w:rFonts w:hint="eastAsia"/>
              </w:rPr>
              <w:t>主要为废包装物、办公生活垃圾等。统一收集后，作为生活垃圾由场镇环卫部门清运处置。</w:t>
            </w:r>
          </w:p>
          <w:p>
            <w:pPr>
              <w:autoSpaceDE w:val="0"/>
              <w:autoSpaceDN w:val="0"/>
              <w:adjustRightInd w:val="0"/>
              <w:snapToGrid w:val="0"/>
              <w:spacing w:line="400" w:lineRule="exact"/>
              <w:ind w:firstLine="420" w:firstLineChars="200"/>
              <w:jc w:val="left"/>
            </w:pPr>
          </w:p>
          <w:p>
            <w:pPr>
              <w:autoSpaceDE w:val="0"/>
              <w:autoSpaceDN w:val="0"/>
              <w:adjustRightInd w:val="0"/>
              <w:snapToGrid w:val="0"/>
              <w:spacing w:line="400" w:lineRule="exact"/>
              <w:ind w:firstLine="420" w:firstLineChars="200"/>
              <w:jc w:val="left"/>
            </w:pPr>
          </w:p>
          <w:p>
            <w:pPr>
              <w:pStyle w:val="15"/>
            </w:pPr>
          </w:p>
          <w:p>
            <w:pPr>
              <w:pStyle w:val="15"/>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p>
            <w:pPr>
              <w:pStyle w:val="15"/>
              <w:spacing w:after="0" w:line="100" w:lineRule="exact"/>
            </w:pPr>
          </w:p>
        </w:tc>
      </w:tr>
    </w:tbl>
    <w:p>
      <w:pPr>
        <w:widowControl/>
        <w:jc w:val="left"/>
        <w:rPr>
          <w:rFonts w:eastAsia="黑体"/>
          <w:snapToGrid w:val="0"/>
          <w:kern w:val="0"/>
          <w:sz w:val="36"/>
          <w:szCs w:val="36"/>
        </w:rPr>
        <w:sectPr>
          <w:pgSz w:w="11906" w:h="16838"/>
          <w:pgMar w:top="1701" w:right="1531" w:bottom="1701" w:left="1531" w:header="851" w:footer="1077" w:gutter="0"/>
          <w:pgNumType w:fmt="numberInDash"/>
          <w:cols w:space="720" w:num="1"/>
          <w:docGrid w:linePitch="286" w:charSpace="0"/>
        </w:sectPr>
      </w:pPr>
    </w:p>
    <w:p>
      <w:pPr>
        <w:pStyle w:val="19"/>
        <w:jc w:val="center"/>
        <w:outlineLvl w:val="0"/>
        <w:rPr>
          <w:rFonts w:ascii="Times New Roman" w:hAnsi="Times New Roman" w:eastAsia="黑体" w:cs="Times New Roman"/>
          <w:snapToGrid w:val="0"/>
          <w:sz w:val="30"/>
          <w:szCs w:val="30"/>
        </w:rPr>
      </w:pPr>
      <w:r>
        <w:rPr>
          <w:rFonts w:ascii="Times New Roman" w:hAnsi="Times New Roman" w:eastAsia="黑体" w:cs="Times New Roman"/>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1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92"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5"/>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pStyle w:val="15"/>
            </w:pPr>
          </w:p>
          <w:p>
            <w:pPr>
              <w:pStyle w:val="15"/>
            </w:pPr>
          </w:p>
          <w:p>
            <w:pPr>
              <w:pStyle w:val="15"/>
            </w:pPr>
          </w:p>
          <w:p>
            <w:pPr>
              <w:adjustRightInd w:val="0"/>
              <w:snapToGrid w:val="0"/>
              <w:jc w:val="center"/>
              <w:rPr>
                <w:kern w:val="0"/>
                <w:szCs w:val="21"/>
              </w:rPr>
            </w:pPr>
          </w:p>
          <w:p>
            <w:pPr>
              <w:adjustRightInd w:val="0"/>
              <w:snapToGrid w:val="0"/>
              <w:jc w:val="center"/>
              <w:rPr>
                <w:kern w:val="0"/>
                <w:szCs w:val="21"/>
              </w:rPr>
            </w:pPr>
            <w:r>
              <w:rPr>
                <w:kern w:val="0"/>
                <w:szCs w:val="21"/>
              </w:rPr>
              <w:t>区域</w:t>
            </w:r>
          </w:p>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质量</w:t>
            </w:r>
          </w:p>
          <w:p>
            <w:pPr>
              <w:adjustRightInd w:val="0"/>
              <w:snapToGrid w:val="0"/>
              <w:jc w:val="center"/>
              <w:rPr>
                <w:kern w:val="0"/>
                <w:szCs w:val="21"/>
              </w:rPr>
            </w:pPr>
            <w:r>
              <w:rPr>
                <w:kern w:val="0"/>
                <w:szCs w:val="21"/>
              </w:rPr>
              <w:t>现状</w:t>
            </w:r>
          </w:p>
          <w:p>
            <w:pPr>
              <w:pStyle w:val="15"/>
            </w:pPr>
          </w:p>
          <w:p>
            <w:pPr>
              <w:pStyle w:val="15"/>
            </w:pPr>
          </w:p>
        </w:tc>
        <w:tc>
          <w:tcPr>
            <w:tcW w:w="812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1、环境空气质量现状及评价</w:t>
            </w:r>
          </w:p>
          <w:p>
            <w:pPr>
              <w:autoSpaceDE w:val="0"/>
              <w:autoSpaceDN w:val="0"/>
              <w:adjustRightInd w:val="0"/>
              <w:snapToGrid w:val="0"/>
              <w:spacing w:line="400" w:lineRule="exact"/>
              <w:ind w:firstLine="420" w:firstLineChars="200"/>
              <w:rPr>
                <w:kern w:val="0"/>
              </w:rPr>
            </w:pPr>
            <w:r>
              <w:rPr>
                <w:rFonts w:ascii="宋体" w:hAnsi="宋体"/>
                <w:kern w:val="0"/>
              </w:rPr>
              <w:t>根据达州市生态环境局官方网站发布的</w:t>
            </w:r>
            <w:r>
              <w:rPr>
                <w:kern w:val="0"/>
              </w:rPr>
              <w:t>2022</w:t>
            </w:r>
            <w:r>
              <w:rPr>
                <w:rFonts w:ascii="宋体" w:hAnsi="宋体"/>
                <w:kern w:val="0"/>
              </w:rPr>
              <w:t>年</w:t>
            </w:r>
            <w:r>
              <w:rPr>
                <w:kern w:val="0"/>
              </w:rPr>
              <w:t>1~12</w:t>
            </w:r>
            <w:r>
              <w:rPr>
                <w:rFonts w:ascii="宋体" w:hAnsi="宋体"/>
                <w:kern w:val="0"/>
              </w:rPr>
              <w:t>月《达州市各县（市、区）环境空气质量月报》，项目所在地东岳镇属于达州市通川区，评价采用</w:t>
            </w:r>
            <w:r>
              <w:rPr>
                <w:kern w:val="0"/>
              </w:rPr>
              <w:t>2022</w:t>
            </w:r>
            <w:r>
              <w:rPr>
                <w:rFonts w:ascii="宋体" w:hAnsi="宋体"/>
                <w:kern w:val="0"/>
              </w:rPr>
              <w:t>年通川区各月环境空气质量进行评价，见下表。</w:t>
            </w:r>
          </w:p>
          <w:p>
            <w:pPr>
              <w:autoSpaceDE w:val="0"/>
              <w:autoSpaceDN w:val="0"/>
              <w:adjustRightInd w:val="0"/>
              <w:snapToGrid w:val="0"/>
              <w:spacing w:line="360" w:lineRule="exact"/>
              <w:jc w:val="center"/>
              <w:rPr>
                <w:rFonts w:eastAsia="黑体"/>
                <w:kern w:val="0"/>
                <w:sz w:val="18"/>
                <w:szCs w:val="20"/>
              </w:rPr>
            </w:pPr>
            <w:r>
              <w:rPr>
                <w:rFonts w:hint="eastAsia" w:eastAsia="黑体"/>
                <w:kern w:val="0"/>
                <w:sz w:val="18"/>
                <w:szCs w:val="20"/>
              </w:rPr>
              <w:t xml:space="preserve">表3-1   </w:t>
            </w:r>
            <w:r>
              <w:rPr>
                <w:rFonts w:eastAsia="黑体"/>
                <w:kern w:val="0"/>
                <w:sz w:val="18"/>
                <w:szCs w:val="20"/>
              </w:rPr>
              <w:t>2022</w:t>
            </w:r>
            <w:r>
              <w:rPr>
                <w:rFonts w:ascii="黑体" w:hAnsi="黑体" w:eastAsia="黑体"/>
                <w:kern w:val="0"/>
                <w:sz w:val="18"/>
                <w:szCs w:val="20"/>
              </w:rPr>
              <w:t>年通川区环境空气质量统计表</w:t>
            </w:r>
          </w:p>
          <w:tbl>
            <w:tblPr>
              <w:tblStyle w:val="21"/>
              <w:tblW w:w="79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7"/>
              <w:gridCol w:w="550"/>
              <w:gridCol w:w="528"/>
              <w:gridCol w:w="571"/>
              <w:gridCol w:w="496"/>
              <w:gridCol w:w="562"/>
              <w:gridCol w:w="539"/>
              <w:gridCol w:w="919"/>
              <w:gridCol w:w="884"/>
              <w:gridCol w:w="611"/>
              <w:gridCol w:w="872"/>
              <w:gridCol w:w="8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 w:hRule="atLeast"/>
                <w:jc w:val="center"/>
              </w:trPr>
              <w:tc>
                <w:tcPr>
                  <w:tcW w:w="627"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b/>
                      <w:bCs/>
                      <w:sz w:val="18"/>
                      <w:szCs w:val="18"/>
                    </w:rPr>
                    <w:t>月份</w:t>
                  </w:r>
                </w:p>
              </w:tc>
              <w:tc>
                <w:tcPr>
                  <w:tcW w:w="550"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SO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28"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NO</w:t>
                  </w:r>
                  <w:r>
                    <w:rPr>
                      <w:rFonts w:ascii="Times New Roman" w:hAnsi="Times New Roman"/>
                      <w:b/>
                      <w:bCs/>
                      <w:sz w:val="18"/>
                      <w:szCs w:val="18"/>
                      <w:vertAlign w:val="subscript"/>
                    </w:rPr>
                    <w:t>2</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71"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CO</w:t>
                  </w:r>
                  <w:r>
                    <w:rPr>
                      <w:b/>
                      <w:bCs/>
                      <w:spacing w:val="-11"/>
                      <w:vertAlign w:val="subscript"/>
                    </w:rPr>
                    <w:t>（</w:t>
                  </w:r>
                  <w:r>
                    <w:rPr>
                      <w:rFonts w:ascii="Times New Roman" w:hAnsi="Times New Roman"/>
                      <w:b/>
                      <w:bCs/>
                      <w:spacing w:val="-11"/>
                      <w:vertAlign w:val="subscript"/>
                    </w:rPr>
                    <w:t>mg/m</w:t>
                  </w:r>
                  <w:r>
                    <w:rPr>
                      <w:rFonts w:ascii="Times New Roman" w:hAnsi="Times New Roman"/>
                      <w:b/>
                      <w:bCs/>
                      <w:spacing w:val="-11"/>
                      <w:sz w:val="16"/>
                      <w:szCs w:val="16"/>
                      <w:vertAlign w:val="superscript"/>
                    </w:rPr>
                    <w:t>3</w:t>
                  </w:r>
                  <w:r>
                    <w:rPr>
                      <w:b/>
                      <w:bCs/>
                      <w:spacing w:val="-11"/>
                      <w:vertAlign w:val="subscript"/>
                    </w:rPr>
                    <w:t>）</w:t>
                  </w:r>
                </w:p>
              </w:tc>
              <w:tc>
                <w:tcPr>
                  <w:tcW w:w="496"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O</w:t>
                  </w:r>
                  <w:r>
                    <w:rPr>
                      <w:rFonts w:ascii="Times New Roman" w:hAnsi="Times New Roman"/>
                      <w:b/>
                      <w:bCs/>
                      <w:sz w:val="18"/>
                      <w:szCs w:val="18"/>
                      <w:vertAlign w:val="subscript"/>
                    </w:rPr>
                    <w:t>3</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62" w:type="dxa"/>
                  <w:vAlign w:val="center"/>
                </w:tcPr>
                <w:p>
                  <w:pPr>
                    <w:pStyle w:val="19"/>
                    <w:autoSpaceDE w:val="0"/>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PM</w:t>
                  </w:r>
                  <w:r>
                    <w:rPr>
                      <w:rFonts w:ascii="Times New Roman" w:hAnsi="Times New Roman"/>
                      <w:b/>
                      <w:bCs/>
                      <w:sz w:val="18"/>
                      <w:szCs w:val="18"/>
                      <w:vertAlign w:val="subscript"/>
                    </w:rPr>
                    <w:t>2.5</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539"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rFonts w:ascii="Times New Roman" w:hAnsi="Times New Roman"/>
                      <w:b/>
                      <w:bCs/>
                      <w:sz w:val="18"/>
                      <w:szCs w:val="18"/>
                    </w:rPr>
                    <w:t>PM</w:t>
                  </w:r>
                  <w:r>
                    <w:rPr>
                      <w:rFonts w:ascii="Times New Roman" w:hAnsi="Times New Roman"/>
                      <w:b/>
                      <w:bCs/>
                      <w:sz w:val="18"/>
                      <w:szCs w:val="18"/>
                      <w:vertAlign w:val="subscript"/>
                    </w:rPr>
                    <w:t>10</w:t>
                  </w:r>
                  <w:r>
                    <w:rPr>
                      <w:b/>
                      <w:bCs/>
                      <w:spacing w:val="-11"/>
                      <w:vertAlign w:val="subscript"/>
                    </w:rPr>
                    <w:t>（</w:t>
                  </w:r>
                  <w:r>
                    <w:rPr>
                      <w:rFonts w:ascii="Times New Roman" w:hAnsi="Times New Roman"/>
                      <w:b/>
                      <w:bCs/>
                      <w:spacing w:val="-11"/>
                      <w:vertAlign w:val="subscript"/>
                    </w:rPr>
                    <w:t>ug/m</w:t>
                  </w:r>
                  <w:r>
                    <w:rPr>
                      <w:rFonts w:ascii="Times New Roman" w:hAnsi="Times New Roman"/>
                      <w:b/>
                      <w:bCs/>
                      <w:spacing w:val="-11"/>
                      <w:sz w:val="16"/>
                      <w:szCs w:val="16"/>
                      <w:vertAlign w:val="superscript"/>
                    </w:rPr>
                    <w:t>3</w:t>
                  </w:r>
                  <w:r>
                    <w:rPr>
                      <w:b/>
                      <w:bCs/>
                      <w:spacing w:val="-11"/>
                      <w:vertAlign w:val="subscript"/>
                    </w:rPr>
                    <w:t>）</w:t>
                  </w:r>
                </w:p>
              </w:tc>
              <w:tc>
                <w:tcPr>
                  <w:tcW w:w="919"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有效监测天数（天）</w:t>
                  </w:r>
                </w:p>
              </w:tc>
              <w:tc>
                <w:tcPr>
                  <w:tcW w:w="884"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达标天数（天）</w:t>
                  </w:r>
                </w:p>
              </w:tc>
              <w:tc>
                <w:tcPr>
                  <w:tcW w:w="611"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达标率（</w:t>
                  </w:r>
                  <w:r>
                    <w:rPr>
                      <w:rFonts w:ascii="Times New Roman" w:hAnsi="Times New Roman"/>
                      <w:b/>
                      <w:bCs/>
                      <w:sz w:val="18"/>
                      <w:szCs w:val="18"/>
                    </w:rPr>
                    <w:t>%</w:t>
                  </w:r>
                  <w:r>
                    <w:rPr>
                      <w:b/>
                      <w:bCs/>
                      <w:sz w:val="18"/>
                      <w:szCs w:val="18"/>
                    </w:rPr>
                    <w:t>）</w:t>
                  </w:r>
                </w:p>
              </w:tc>
              <w:tc>
                <w:tcPr>
                  <w:tcW w:w="872"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达标率同比（</w:t>
                  </w:r>
                  <w:r>
                    <w:rPr>
                      <w:rFonts w:ascii="Times New Roman" w:hAnsi="Times New Roman"/>
                      <w:b/>
                      <w:bCs/>
                      <w:sz w:val="18"/>
                      <w:szCs w:val="18"/>
                    </w:rPr>
                    <w:t>%</w:t>
                  </w:r>
                  <w:r>
                    <w:rPr>
                      <w:b/>
                      <w:bCs/>
                      <w:sz w:val="18"/>
                      <w:szCs w:val="18"/>
                    </w:rPr>
                    <w:t>）</w:t>
                  </w:r>
                </w:p>
              </w:tc>
              <w:tc>
                <w:tcPr>
                  <w:tcW w:w="803" w:type="dxa"/>
                  <w:vAlign w:val="center"/>
                </w:tcPr>
                <w:p>
                  <w:pPr>
                    <w:pStyle w:val="19"/>
                    <w:autoSpaceDE w:val="0"/>
                    <w:spacing w:before="0" w:beforeAutospacing="0" w:after="0" w:afterAutospacing="0" w:line="280" w:lineRule="exact"/>
                    <w:jc w:val="center"/>
                    <w:rPr>
                      <w:rFonts w:ascii="Times New Roman" w:hAnsi="Times New Roman"/>
                      <w:b/>
                      <w:bCs/>
                      <w:kern w:val="0"/>
                      <w:sz w:val="18"/>
                      <w:szCs w:val="18"/>
                    </w:rPr>
                  </w:pPr>
                  <w:r>
                    <w:rPr>
                      <w:b/>
                      <w:bCs/>
                      <w:sz w:val="18"/>
                      <w:szCs w:val="18"/>
                    </w:rPr>
                    <w:t>空气质量综合指数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36</w:t>
                  </w:r>
                </w:p>
              </w:tc>
              <w:tc>
                <w:tcPr>
                  <w:tcW w:w="571" w:type="dxa"/>
                  <w:vAlign w:val="center"/>
                </w:tcPr>
                <w:p>
                  <w:pPr>
                    <w:widowControl/>
                    <w:jc w:val="center"/>
                    <w:textAlignment w:val="center"/>
                    <w:rPr>
                      <w:sz w:val="18"/>
                      <w:szCs w:val="18"/>
                    </w:rPr>
                  </w:pPr>
                  <w:r>
                    <w:rPr>
                      <w:sz w:val="18"/>
                      <w:szCs w:val="18"/>
                    </w:rPr>
                    <w:t>1.5</w:t>
                  </w:r>
                </w:p>
              </w:tc>
              <w:tc>
                <w:tcPr>
                  <w:tcW w:w="496" w:type="dxa"/>
                  <w:vAlign w:val="center"/>
                </w:tcPr>
                <w:p>
                  <w:pPr>
                    <w:widowControl/>
                    <w:jc w:val="center"/>
                    <w:textAlignment w:val="center"/>
                    <w:rPr>
                      <w:sz w:val="18"/>
                      <w:szCs w:val="18"/>
                    </w:rPr>
                  </w:pPr>
                  <w:r>
                    <w:rPr>
                      <w:sz w:val="18"/>
                      <w:szCs w:val="18"/>
                    </w:rPr>
                    <w:t>46</w:t>
                  </w:r>
                </w:p>
              </w:tc>
              <w:tc>
                <w:tcPr>
                  <w:tcW w:w="562" w:type="dxa"/>
                  <w:vAlign w:val="center"/>
                </w:tcPr>
                <w:p>
                  <w:pPr>
                    <w:widowControl/>
                    <w:jc w:val="center"/>
                    <w:textAlignment w:val="center"/>
                    <w:rPr>
                      <w:sz w:val="18"/>
                      <w:szCs w:val="18"/>
                    </w:rPr>
                  </w:pPr>
                  <w:r>
                    <w:rPr>
                      <w:sz w:val="18"/>
                      <w:szCs w:val="18"/>
                    </w:rPr>
                    <w:t>60</w:t>
                  </w:r>
                </w:p>
              </w:tc>
              <w:tc>
                <w:tcPr>
                  <w:tcW w:w="539" w:type="dxa"/>
                  <w:vAlign w:val="center"/>
                </w:tcPr>
                <w:p>
                  <w:pPr>
                    <w:widowControl/>
                    <w:jc w:val="center"/>
                    <w:textAlignment w:val="center"/>
                    <w:rPr>
                      <w:sz w:val="18"/>
                      <w:szCs w:val="18"/>
                    </w:rPr>
                  </w:pPr>
                  <w:r>
                    <w:rPr>
                      <w:sz w:val="18"/>
                      <w:szCs w:val="18"/>
                    </w:rPr>
                    <w:t>76</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21</w:t>
                  </w:r>
                </w:p>
              </w:tc>
              <w:tc>
                <w:tcPr>
                  <w:tcW w:w="611" w:type="dxa"/>
                  <w:vAlign w:val="center"/>
                </w:tcPr>
                <w:p>
                  <w:pPr>
                    <w:widowControl/>
                    <w:jc w:val="center"/>
                    <w:textAlignment w:val="center"/>
                    <w:rPr>
                      <w:sz w:val="18"/>
                      <w:szCs w:val="18"/>
                    </w:rPr>
                  </w:pPr>
                  <w:r>
                    <w:rPr>
                      <w:sz w:val="18"/>
                      <w:szCs w:val="18"/>
                    </w:rPr>
                    <w:t>67.7</w:t>
                  </w:r>
                </w:p>
              </w:tc>
              <w:tc>
                <w:tcPr>
                  <w:tcW w:w="872" w:type="dxa"/>
                  <w:vAlign w:val="center"/>
                </w:tcPr>
                <w:p>
                  <w:pPr>
                    <w:widowControl/>
                    <w:jc w:val="center"/>
                    <w:textAlignment w:val="center"/>
                    <w:rPr>
                      <w:sz w:val="18"/>
                      <w:szCs w:val="18"/>
                    </w:rPr>
                  </w:pPr>
                  <w:r>
                    <w:rPr>
                      <w:sz w:val="18"/>
                      <w:szCs w:val="18"/>
                    </w:rPr>
                    <w:t>25.8</w:t>
                  </w:r>
                </w:p>
              </w:tc>
              <w:tc>
                <w:tcPr>
                  <w:tcW w:w="803" w:type="dxa"/>
                  <w:vAlign w:val="center"/>
                </w:tcPr>
                <w:p>
                  <w:pPr>
                    <w:widowControl/>
                    <w:jc w:val="center"/>
                    <w:textAlignment w:val="center"/>
                    <w:rPr>
                      <w:sz w:val="18"/>
                      <w:szCs w:val="18"/>
                    </w:rPr>
                  </w:pPr>
                  <w:r>
                    <w:rPr>
                      <w:sz w:val="18"/>
                      <w:szCs w:val="18"/>
                    </w:rPr>
                    <w:t>4.48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2</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32</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66</w:t>
                  </w:r>
                </w:p>
              </w:tc>
              <w:tc>
                <w:tcPr>
                  <w:tcW w:w="562" w:type="dxa"/>
                  <w:vAlign w:val="center"/>
                </w:tcPr>
                <w:p>
                  <w:pPr>
                    <w:widowControl/>
                    <w:jc w:val="center"/>
                    <w:textAlignment w:val="center"/>
                    <w:rPr>
                      <w:sz w:val="18"/>
                      <w:szCs w:val="18"/>
                    </w:rPr>
                  </w:pPr>
                  <w:r>
                    <w:rPr>
                      <w:sz w:val="18"/>
                      <w:szCs w:val="18"/>
                    </w:rPr>
                    <w:t>39</w:t>
                  </w:r>
                </w:p>
              </w:tc>
              <w:tc>
                <w:tcPr>
                  <w:tcW w:w="539" w:type="dxa"/>
                  <w:vAlign w:val="center"/>
                </w:tcPr>
                <w:p>
                  <w:pPr>
                    <w:widowControl/>
                    <w:jc w:val="center"/>
                    <w:textAlignment w:val="center"/>
                    <w:rPr>
                      <w:sz w:val="18"/>
                      <w:szCs w:val="18"/>
                    </w:rPr>
                  </w:pPr>
                  <w:r>
                    <w:rPr>
                      <w:sz w:val="18"/>
                      <w:szCs w:val="18"/>
                    </w:rPr>
                    <w:t>51</w:t>
                  </w:r>
                </w:p>
              </w:tc>
              <w:tc>
                <w:tcPr>
                  <w:tcW w:w="919" w:type="dxa"/>
                  <w:vAlign w:val="center"/>
                </w:tcPr>
                <w:p>
                  <w:pPr>
                    <w:widowControl/>
                    <w:jc w:val="center"/>
                    <w:textAlignment w:val="center"/>
                    <w:rPr>
                      <w:sz w:val="18"/>
                      <w:szCs w:val="18"/>
                    </w:rPr>
                  </w:pPr>
                  <w:r>
                    <w:rPr>
                      <w:sz w:val="18"/>
                      <w:szCs w:val="18"/>
                    </w:rPr>
                    <w:t>28</w:t>
                  </w:r>
                </w:p>
              </w:tc>
              <w:tc>
                <w:tcPr>
                  <w:tcW w:w="884" w:type="dxa"/>
                  <w:vAlign w:val="center"/>
                </w:tcPr>
                <w:p>
                  <w:pPr>
                    <w:widowControl/>
                    <w:jc w:val="center"/>
                    <w:textAlignment w:val="center"/>
                    <w:rPr>
                      <w:sz w:val="18"/>
                      <w:szCs w:val="18"/>
                    </w:rPr>
                  </w:pPr>
                  <w:r>
                    <w:rPr>
                      <w:sz w:val="18"/>
                      <w:szCs w:val="18"/>
                    </w:rPr>
                    <w:t>28</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21.4</w:t>
                  </w:r>
                </w:p>
              </w:tc>
              <w:tc>
                <w:tcPr>
                  <w:tcW w:w="803" w:type="dxa"/>
                  <w:vAlign w:val="center"/>
                </w:tcPr>
                <w:p>
                  <w:pPr>
                    <w:widowControl/>
                    <w:jc w:val="center"/>
                    <w:textAlignment w:val="center"/>
                    <w:rPr>
                      <w:sz w:val="18"/>
                      <w:szCs w:val="18"/>
                    </w:rPr>
                  </w:pPr>
                  <w:r>
                    <w:rPr>
                      <w:sz w:val="18"/>
                      <w:szCs w:val="18"/>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3</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41</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98</w:t>
                  </w:r>
                </w:p>
              </w:tc>
              <w:tc>
                <w:tcPr>
                  <w:tcW w:w="562" w:type="dxa"/>
                  <w:vAlign w:val="center"/>
                </w:tcPr>
                <w:p>
                  <w:pPr>
                    <w:widowControl/>
                    <w:jc w:val="center"/>
                    <w:textAlignment w:val="center"/>
                    <w:rPr>
                      <w:sz w:val="18"/>
                      <w:szCs w:val="18"/>
                    </w:rPr>
                  </w:pPr>
                  <w:r>
                    <w:rPr>
                      <w:sz w:val="18"/>
                      <w:szCs w:val="18"/>
                    </w:rPr>
                    <w:t>30</w:t>
                  </w:r>
                </w:p>
              </w:tc>
              <w:tc>
                <w:tcPr>
                  <w:tcW w:w="539" w:type="dxa"/>
                  <w:vAlign w:val="center"/>
                </w:tcPr>
                <w:p>
                  <w:pPr>
                    <w:widowControl/>
                    <w:jc w:val="center"/>
                    <w:textAlignment w:val="center"/>
                    <w:rPr>
                      <w:sz w:val="18"/>
                      <w:szCs w:val="18"/>
                    </w:rPr>
                  </w:pPr>
                  <w:r>
                    <w:rPr>
                      <w:sz w:val="18"/>
                      <w:szCs w:val="18"/>
                    </w:rPr>
                    <w:t>57</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4</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36</w:t>
                  </w:r>
                </w:p>
              </w:tc>
              <w:tc>
                <w:tcPr>
                  <w:tcW w:w="571" w:type="dxa"/>
                  <w:vAlign w:val="center"/>
                </w:tcPr>
                <w:p>
                  <w:pPr>
                    <w:widowControl/>
                    <w:jc w:val="center"/>
                    <w:textAlignment w:val="center"/>
                    <w:rPr>
                      <w:sz w:val="18"/>
                      <w:szCs w:val="18"/>
                    </w:rPr>
                  </w:pPr>
                  <w:r>
                    <w:rPr>
                      <w:sz w:val="18"/>
                      <w:szCs w:val="18"/>
                    </w:rPr>
                    <w:t>1</w:t>
                  </w:r>
                </w:p>
              </w:tc>
              <w:tc>
                <w:tcPr>
                  <w:tcW w:w="496" w:type="dxa"/>
                  <w:vAlign w:val="center"/>
                </w:tcPr>
                <w:p>
                  <w:pPr>
                    <w:widowControl/>
                    <w:jc w:val="center"/>
                    <w:textAlignment w:val="center"/>
                    <w:rPr>
                      <w:sz w:val="18"/>
                      <w:szCs w:val="18"/>
                    </w:rPr>
                  </w:pPr>
                  <w:r>
                    <w:rPr>
                      <w:sz w:val="18"/>
                      <w:szCs w:val="18"/>
                    </w:rPr>
                    <w:t>123</w:t>
                  </w:r>
                </w:p>
              </w:tc>
              <w:tc>
                <w:tcPr>
                  <w:tcW w:w="562" w:type="dxa"/>
                  <w:vAlign w:val="center"/>
                </w:tcPr>
                <w:p>
                  <w:pPr>
                    <w:widowControl/>
                    <w:jc w:val="center"/>
                    <w:textAlignment w:val="center"/>
                    <w:rPr>
                      <w:sz w:val="18"/>
                      <w:szCs w:val="18"/>
                    </w:rPr>
                  </w:pPr>
                  <w:r>
                    <w:rPr>
                      <w:sz w:val="18"/>
                      <w:szCs w:val="18"/>
                    </w:rPr>
                    <w:t>22</w:t>
                  </w:r>
                </w:p>
              </w:tc>
              <w:tc>
                <w:tcPr>
                  <w:tcW w:w="539" w:type="dxa"/>
                  <w:vAlign w:val="center"/>
                </w:tcPr>
                <w:p>
                  <w:pPr>
                    <w:widowControl/>
                    <w:jc w:val="center"/>
                    <w:textAlignment w:val="center"/>
                    <w:rPr>
                      <w:sz w:val="18"/>
                      <w:szCs w:val="18"/>
                    </w:rPr>
                  </w:pPr>
                  <w:r>
                    <w:rPr>
                      <w:sz w:val="18"/>
                      <w:szCs w:val="18"/>
                    </w:rPr>
                    <w:t>43</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5</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34</w:t>
                  </w:r>
                </w:p>
              </w:tc>
              <w:tc>
                <w:tcPr>
                  <w:tcW w:w="571" w:type="dxa"/>
                  <w:vAlign w:val="center"/>
                </w:tcPr>
                <w:p>
                  <w:pPr>
                    <w:widowControl/>
                    <w:jc w:val="center"/>
                    <w:textAlignment w:val="center"/>
                    <w:rPr>
                      <w:sz w:val="18"/>
                      <w:szCs w:val="18"/>
                    </w:rPr>
                  </w:pPr>
                  <w:r>
                    <w:rPr>
                      <w:sz w:val="18"/>
                      <w:szCs w:val="18"/>
                    </w:rPr>
                    <w:t>0.9</w:t>
                  </w:r>
                </w:p>
              </w:tc>
              <w:tc>
                <w:tcPr>
                  <w:tcW w:w="496" w:type="dxa"/>
                  <w:vAlign w:val="center"/>
                </w:tcPr>
                <w:p>
                  <w:pPr>
                    <w:widowControl/>
                    <w:jc w:val="center"/>
                    <w:textAlignment w:val="center"/>
                    <w:rPr>
                      <w:sz w:val="18"/>
                      <w:szCs w:val="18"/>
                    </w:rPr>
                  </w:pPr>
                  <w:r>
                    <w:rPr>
                      <w:sz w:val="18"/>
                      <w:szCs w:val="18"/>
                    </w:rPr>
                    <w:t>134</w:t>
                  </w:r>
                </w:p>
              </w:tc>
              <w:tc>
                <w:tcPr>
                  <w:tcW w:w="562" w:type="dxa"/>
                  <w:vAlign w:val="center"/>
                </w:tcPr>
                <w:p>
                  <w:pPr>
                    <w:widowControl/>
                    <w:jc w:val="center"/>
                    <w:textAlignment w:val="center"/>
                    <w:rPr>
                      <w:sz w:val="18"/>
                      <w:szCs w:val="18"/>
                    </w:rPr>
                  </w:pPr>
                  <w:r>
                    <w:rPr>
                      <w:sz w:val="18"/>
                      <w:szCs w:val="18"/>
                    </w:rPr>
                    <w:t>22</w:t>
                  </w:r>
                </w:p>
              </w:tc>
              <w:tc>
                <w:tcPr>
                  <w:tcW w:w="539" w:type="dxa"/>
                  <w:vAlign w:val="center"/>
                </w:tcPr>
                <w:p>
                  <w:pPr>
                    <w:widowControl/>
                    <w:jc w:val="center"/>
                    <w:textAlignment w:val="center"/>
                    <w:rPr>
                      <w:sz w:val="18"/>
                      <w:szCs w:val="18"/>
                    </w:rPr>
                  </w:pPr>
                  <w:r>
                    <w:rPr>
                      <w:sz w:val="18"/>
                      <w:szCs w:val="18"/>
                    </w:rPr>
                    <w:t>39</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6</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29</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160</w:t>
                  </w:r>
                </w:p>
              </w:tc>
              <w:tc>
                <w:tcPr>
                  <w:tcW w:w="562" w:type="dxa"/>
                  <w:vAlign w:val="center"/>
                </w:tcPr>
                <w:p>
                  <w:pPr>
                    <w:widowControl/>
                    <w:jc w:val="center"/>
                    <w:textAlignment w:val="center"/>
                    <w:rPr>
                      <w:sz w:val="18"/>
                      <w:szCs w:val="18"/>
                    </w:rPr>
                  </w:pPr>
                  <w:r>
                    <w:rPr>
                      <w:sz w:val="18"/>
                      <w:szCs w:val="18"/>
                    </w:rPr>
                    <w:t>21</w:t>
                  </w:r>
                </w:p>
              </w:tc>
              <w:tc>
                <w:tcPr>
                  <w:tcW w:w="539" w:type="dxa"/>
                  <w:vAlign w:val="center"/>
                </w:tcPr>
                <w:p>
                  <w:pPr>
                    <w:widowControl/>
                    <w:jc w:val="center"/>
                    <w:textAlignment w:val="center"/>
                    <w:rPr>
                      <w:sz w:val="18"/>
                      <w:szCs w:val="18"/>
                    </w:rPr>
                  </w:pPr>
                  <w:r>
                    <w:rPr>
                      <w:sz w:val="18"/>
                      <w:szCs w:val="18"/>
                    </w:rPr>
                    <w:t>37</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27</w:t>
                  </w:r>
                </w:p>
              </w:tc>
              <w:tc>
                <w:tcPr>
                  <w:tcW w:w="611" w:type="dxa"/>
                  <w:vAlign w:val="center"/>
                </w:tcPr>
                <w:p>
                  <w:pPr>
                    <w:widowControl/>
                    <w:jc w:val="center"/>
                    <w:textAlignment w:val="center"/>
                    <w:rPr>
                      <w:sz w:val="18"/>
                      <w:szCs w:val="18"/>
                    </w:rPr>
                  </w:pPr>
                  <w:r>
                    <w:rPr>
                      <w:sz w:val="18"/>
                      <w:szCs w:val="18"/>
                    </w:rPr>
                    <w:t>90</w:t>
                  </w:r>
                </w:p>
              </w:tc>
              <w:tc>
                <w:tcPr>
                  <w:tcW w:w="872" w:type="dxa"/>
                  <w:vAlign w:val="center"/>
                </w:tcPr>
                <w:p>
                  <w:pPr>
                    <w:widowControl/>
                    <w:jc w:val="center"/>
                    <w:textAlignment w:val="center"/>
                    <w:rPr>
                      <w:sz w:val="18"/>
                      <w:szCs w:val="18"/>
                    </w:rPr>
                  </w:pPr>
                  <w:r>
                    <w:rPr>
                      <w:sz w:val="18"/>
                      <w:szCs w:val="18"/>
                    </w:rPr>
                    <w:t>-6.7</w:t>
                  </w:r>
                </w:p>
              </w:tc>
              <w:tc>
                <w:tcPr>
                  <w:tcW w:w="803" w:type="dxa"/>
                  <w:vAlign w:val="center"/>
                </w:tcPr>
                <w:p>
                  <w:pPr>
                    <w:widowControl/>
                    <w:jc w:val="center"/>
                    <w:textAlignment w:val="center"/>
                    <w:rPr>
                      <w:sz w:val="18"/>
                      <w:szCs w:val="18"/>
                    </w:rPr>
                  </w:pPr>
                  <w:r>
                    <w:rPr>
                      <w:sz w:val="18"/>
                      <w:szCs w:val="18"/>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7</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6</w:t>
                  </w:r>
                </w:p>
              </w:tc>
              <w:tc>
                <w:tcPr>
                  <w:tcW w:w="528" w:type="dxa"/>
                  <w:vAlign w:val="center"/>
                </w:tcPr>
                <w:p>
                  <w:pPr>
                    <w:widowControl/>
                    <w:jc w:val="center"/>
                    <w:textAlignment w:val="center"/>
                    <w:rPr>
                      <w:sz w:val="18"/>
                      <w:szCs w:val="18"/>
                    </w:rPr>
                  </w:pPr>
                  <w:r>
                    <w:rPr>
                      <w:sz w:val="18"/>
                      <w:szCs w:val="18"/>
                    </w:rPr>
                    <w:t>27</w:t>
                  </w:r>
                </w:p>
              </w:tc>
              <w:tc>
                <w:tcPr>
                  <w:tcW w:w="571" w:type="dxa"/>
                  <w:vAlign w:val="center"/>
                </w:tcPr>
                <w:p>
                  <w:pPr>
                    <w:widowControl/>
                    <w:jc w:val="center"/>
                    <w:textAlignment w:val="center"/>
                    <w:rPr>
                      <w:sz w:val="18"/>
                      <w:szCs w:val="18"/>
                    </w:rPr>
                  </w:pPr>
                  <w:r>
                    <w:rPr>
                      <w:sz w:val="18"/>
                      <w:szCs w:val="18"/>
                    </w:rPr>
                    <w:t>0.8</w:t>
                  </w:r>
                </w:p>
              </w:tc>
              <w:tc>
                <w:tcPr>
                  <w:tcW w:w="496" w:type="dxa"/>
                  <w:vAlign w:val="center"/>
                </w:tcPr>
                <w:p>
                  <w:pPr>
                    <w:widowControl/>
                    <w:jc w:val="center"/>
                    <w:textAlignment w:val="center"/>
                    <w:rPr>
                      <w:sz w:val="18"/>
                      <w:szCs w:val="18"/>
                    </w:rPr>
                  </w:pPr>
                  <w:r>
                    <w:rPr>
                      <w:sz w:val="18"/>
                      <w:szCs w:val="18"/>
                    </w:rPr>
                    <w:t>128</w:t>
                  </w:r>
                </w:p>
              </w:tc>
              <w:tc>
                <w:tcPr>
                  <w:tcW w:w="562" w:type="dxa"/>
                  <w:vAlign w:val="center"/>
                </w:tcPr>
                <w:p>
                  <w:pPr>
                    <w:widowControl/>
                    <w:jc w:val="center"/>
                    <w:textAlignment w:val="center"/>
                    <w:rPr>
                      <w:sz w:val="18"/>
                      <w:szCs w:val="18"/>
                    </w:rPr>
                  </w:pPr>
                  <w:r>
                    <w:rPr>
                      <w:sz w:val="18"/>
                      <w:szCs w:val="18"/>
                    </w:rPr>
                    <w:t>13</w:t>
                  </w:r>
                </w:p>
              </w:tc>
              <w:tc>
                <w:tcPr>
                  <w:tcW w:w="539" w:type="dxa"/>
                  <w:vAlign w:val="center"/>
                </w:tcPr>
                <w:p>
                  <w:pPr>
                    <w:widowControl/>
                    <w:jc w:val="center"/>
                    <w:textAlignment w:val="center"/>
                    <w:rPr>
                      <w:sz w:val="18"/>
                      <w:szCs w:val="18"/>
                    </w:rPr>
                  </w:pPr>
                  <w:r>
                    <w:rPr>
                      <w:sz w:val="18"/>
                      <w:szCs w:val="18"/>
                    </w:rPr>
                    <w:t>26</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96.8</w:t>
                  </w:r>
                </w:p>
              </w:tc>
              <w:tc>
                <w:tcPr>
                  <w:tcW w:w="872" w:type="dxa"/>
                  <w:vAlign w:val="center"/>
                </w:tcPr>
                <w:p>
                  <w:pPr>
                    <w:widowControl/>
                    <w:jc w:val="center"/>
                    <w:textAlignment w:val="center"/>
                    <w:rPr>
                      <w:sz w:val="18"/>
                      <w:szCs w:val="18"/>
                    </w:rPr>
                  </w:pPr>
                  <w:r>
                    <w:rPr>
                      <w:sz w:val="18"/>
                      <w:szCs w:val="18"/>
                    </w:rPr>
                    <w:t>-3.2</w:t>
                  </w:r>
                </w:p>
              </w:tc>
              <w:tc>
                <w:tcPr>
                  <w:tcW w:w="803" w:type="dxa"/>
                  <w:vAlign w:val="center"/>
                </w:tcPr>
                <w:p>
                  <w:pPr>
                    <w:widowControl/>
                    <w:jc w:val="center"/>
                    <w:textAlignment w:val="center"/>
                    <w:rPr>
                      <w:sz w:val="18"/>
                      <w:szCs w:val="18"/>
                    </w:rPr>
                  </w:pPr>
                  <w:r>
                    <w:rPr>
                      <w:sz w:val="18"/>
                      <w:szCs w:val="18"/>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8</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6</w:t>
                  </w:r>
                </w:p>
              </w:tc>
              <w:tc>
                <w:tcPr>
                  <w:tcW w:w="528" w:type="dxa"/>
                  <w:vAlign w:val="center"/>
                </w:tcPr>
                <w:p>
                  <w:pPr>
                    <w:widowControl/>
                    <w:jc w:val="center"/>
                    <w:textAlignment w:val="center"/>
                    <w:rPr>
                      <w:sz w:val="18"/>
                      <w:szCs w:val="18"/>
                    </w:rPr>
                  </w:pPr>
                  <w:r>
                    <w:rPr>
                      <w:sz w:val="18"/>
                      <w:szCs w:val="18"/>
                    </w:rPr>
                    <w:t>29</w:t>
                  </w:r>
                </w:p>
              </w:tc>
              <w:tc>
                <w:tcPr>
                  <w:tcW w:w="571" w:type="dxa"/>
                  <w:vAlign w:val="center"/>
                </w:tcPr>
                <w:p>
                  <w:pPr>
                    <w:widowControl/>
                    <w:jc w:val="center"/>
                    <w:textAlignment w:val="center"/>
                    <w:rPr>
                      <w:sz w:val="18"/>
                      <w:szCs w:val="18"/>
                    </w:rPr>
                  </w:pPr>
                  <w:r>
                    <w:rPr>
                      <w:sz w:val="18"/>
                      <w:szCs w:val="18"/>
                    </w:rPr>
                    <w:t>0.8</w:t>
                  </w:r>
                </w:p>
              </w:tc>
              <w:tc>
                <w:tcPr>
                  <w:tcW w:w="496" w:type="dxa"/>
                  <w:vAlign w:val="center"/>
                </w:tcPr>
                <w:p>
                  <w:pPr>
                    <w:widowControl/>
                    <w:jc w:val="center"/>
                    <w:textAlignment w:val="center"/>
                    <w:rPr>
                      <w:sz w:val="18"/>
                      <w:szCs w:val="18"/>
                    </w:rPr>
                  </w:pPr>
                  <w:r>
                    <w:rPr>
                      <w:sz w:val="18"/>
                      <w:szCs w:val="18"/>
                    </w:rPr>
                    <w:t>120</w:t>
                  </w:r>
                </w:p>
              </w:tc>
              <w:tc>
                <w:tcPr>
                  <w:tcW w:w="562" w:type="dxa"/>
                  <w:vAlign w:val="center"/>
                </w:tcPr>
                <w:p>
                  <w:pPr>
                    <w:widowControl/>
                    <w:jc w:val="center"/>
                    <w:textAlignment w:val="center"/>
                    <w:rPr>
                      <w:sz w:val="18"/>
                      <w:szCs w:val="18"/>
                    </w:rPr>
                  </w:pPr>
                  <w:r>
                    <w:rPr>
                      <w:sz w:val="18"/>
                      <w:szCs w:val="18"/>
                    </w:rPr>
                    <w:t>16</w:t>
                  </w:r>
                </w:p>
              </w:tc>
              <w:tc>
                <w:tcPr>
                  <w:tcW w:w="539" w:type="dxa"/>
                  <w:vAlign w:val="center"/>
                </w:tcPr>
                <w:p>
                  <w:pPr>
                    <w:widowControl/>
                    <w:jc w:val="center"/>
                    <w:textAlignment w:val="center"/>
                    <w:rPr>
                      <w:sz w:val="18"/>
                      <w:szCs w:val="18"/>
                    </w:rPr>
                  </w:pPr>
                  <w:r>
                    <w:rPr>
                      <w:sz w:val="18"/>
                      <w:szCs w:val="18"/>
                    </w:rPr>
                    <w:t>28</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96.8</w:t>
                  </w:r>
                </w:p>
              </w:tc>
              <w:tc>
                <w:tcPr>
                  <w:tcW w:w="872" w:type="dxa"/>
                  <w:vAlign w:val="center"/>
                </w:tcPr>
                <w:p>
                  <w:pPr>
                    <w:widowControl/>
                    <w:jc w:val="center"/>
                    <w:textAlignment w:val="center"/>
                    <w:rPr>
                      <w:sz w:val="18"/>
                      <w:szCs w:val="18"/>
                    </w:rPr>
                  </w:pPr>
                  <w:r>
                    <w:rPr>
                      <w:sz w:val="18"/>
                      <w:szCs w:val="18"/>
                    </w:rPr>
                    <w:t>3.3</w:t>
                  </w:r>
                </w:p>
              </w:tc>
              <w:tc>
                <w:tcPr>
                  <w:tcW w:w="803" w:type="dxa"/>
                  <w:vAlign w:val="center"/>
                </w:tcPr>
                <w:p>
                  <w:pPr>
                    <w:widowControl/>
                    <w:jc w:val="center"/>
                    <w:textAlignment w:val="center"/>
                    <w:rPr>
                      <w:sz w:val="18"/>
                      <w:szCs w:val="18"/>
                    </w:rPr>
                  </w:pPr>
                  <w:r>
                    <w:rPr>
                      <w:sz w:val="18"/>
                      <w:szCs w:val="18"/>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9</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7</w:t>
                  </w:r>
                </w:p>
              </w:tc>
              <w:tc>
                <w:tcPr>
                  <w:tcW w:w="528" w:type="dxa"/>
                  <w:vAlign w:val="center"/>
                </w:tcPr>
                <w:p>
                  <w:pPr>
                    <w:widowControl/>
                    <w:jc w:val="center"/>
                    <w:textAlignment w:val="center"/>
                    <w:rPr>
                      <w:sz w:val="18"/>
                      <w:szCs w:val="18"/>
                    </w:rPr>
                  </w:pPr>
                  <w:r>
                    <w:rPr>
                      <w:sz w:val="18"/>
                      <w:szCs w:val="18"/>
                    </w:rPr>
                    <w:t>28</w:t>
                  </w:r>
                </w:p>
              </w:tc>
              <w:tc>
                <w:tcPr>
                  <w:tcW w:w="571" w:type="dxa"/>
                  <w:vAlign w:val="center"/>
                </w:tcPr>
                <w:p>
                  <w:pPr>
                    <w:widowControl/>
                    <w:jc w:val="center"/>
                    <w:textAlignment w:val="center"/>
                    <w:rPr>
                      <w:sz w:val="18"/>
                      <w:szCs w:val="18"/>
                    </w:rPr>
                  </w:pPr>
                  <w:r>
                    <w:rPr>
                      <w:sz w:val="18"/>
                      <w:szCs w:val="18"/>
                    </w:rPr>
                    <w:t>1</w:t>
                  </w:r>
                </w:p>
              </w:tc>
              <w:tc>
                <w:tcPr>
                  <w:tcW w:w="496" w:type="dxa"/>
                  <w:vAlign w:val="center"/>
                </w:tcPr>
                <w:p>
                  <w:pPr>
                    <w:widowControl/>
                    <w:jc w:val="center"/>
                    <w:textAlignment w:val="center"/>
                    <w:rPr>
                      <w:sz w:val="18"/>
                      <w:szCs w:val="18"/>
                    </w:rPr>
                  </w:pPr>
                  <w:r>
                    <w:rPr>
                      <w:sz w:val="18"/>
                      <w:szCs w:val="18"/>
                    </w:rPr>
                    <w:t>114</w:t>
                  </w:r>
                </w:p>
              </w:tc>
              <w:tc>
                <w:tcPr>
                  <w:tcW w:w="562" w:type="dxa"/>
                  <w:vAlign w:val="center"/>
                </w:tcPr>
                <w:p>
                  <w:pPr>
                    <w:widowControl/>
                    <w:jc w:val="center"/>
                    <w:textAlignment w:val="center"/>
                    <w:rPr>
                      <w:sz w:val="18"/>
                      <w:szCs w:val="18"/>
                    </w:rPr>
                  </w:pPr>
                  <w:r>
                    <w:rPr>
                      <w:sz w:val="18"/>
                      <w:szCs w:val="18"/>
                    </w:rPr>
                    <w:t>24</w:t>
                  </w:r>
                </w:p>
              </w:tc>
              <w:tc>
                <w:tcPr>
                  <w:tcW w:w="539" w:type="dxa"/>
                  <w:vAlign w:val="center"/>
                </w:tcPr>
                <w:p>
                  <w:pPr>
                    <w:widowControl/>
                    <w:jc w:val="center"/>
                    <w:textAlignment w:val="center"/>
                    <w:rPr>
                      <w:sz w:val="18"/>
                      <w:szCs w:val="18"/>
                    </w:rPr>
                  </w:pPr>
                  <w:r>
                    <w:rPr>
                      <w:sz w:val="18"/>
                      <w:szCs w:val="18"/>
                    </w:rPr>
                    <w:t>39</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10</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37</w:t>
                  </w:r>
                </w:p>
              </w:tc>
              <w:tc>
                <w:tcPr>
                  <w:tcW w:w="571" w:type="dxa"/>
                  <w:vAlign w:val="center"/>
                </w:tcPr>
                <w:p>
                  <w:pPr>
                    <w:widowControl/>
                    <w:jc w:val="center"/>
                    <w:textAlignment w:val="center"/>
                    <w:rPr>
                      <w:sz w:val="18"/>
                      <w:szCs w:val="18"/>
                    </w:rPr>
                  </w:pPr>
                  <w:r>
                    <w:rPr>
                      <w:sz w:val="18"/>
                      <w:szCs w:val="18"/>
                    </w:rPr>
                    <w:t>1.4</w:t>
                  </w:r>
                </w:p>
              </w:tc>
              <w:tc>
                <w:tcPr>
                  <w:tcW w:w="496" w:type="dxa"/>
                  <w:vAlign w:val="center"/>
                </w:tcPr>
                <w:p>
                  <w:pPr>
                    <w:widowControl/>
                    <w:jc w:val="center"/>
                    <w:textAlignment w:val="center"/>
                    <w:rPr>
                      <w:sz w:val="18"/>
                      <w:szCs w:val="18"/>
                    </w:rPr>
                  </w:pPr>
                  <w:r>
                    <w:rPr>
                      <w:sz w:val="18"/>
                      <w:szCs w:val="18"/>
                    </w:rPr>
                    <w:t>94</w:t>
                  </w:r>
                </w:p>
              </w:tc>
              <w:tc>
                <w:tcPr>
                  <w:tcW w:w="562" w:type="dxa"/>
                  <w:vAlign w:val="center"/>
                </w:tcPr>
                <w:p>
                  <w:pPr>
                    <w:widowControl/>
                    <w:jc w:val="center"/>
                    <w:textAlignment w:val="center"/>
                    <w:rPr>
                      <w:sz w:val="18"/>
                      <w:szCs w:val="18"/>
                    </w:rPr>
                  </w:pPr>
                  <w:r>
                    <w:rPr>
                      <w:sz w:val="18"/>
                      <w:szCs w:val="18"/>
                    </w:rPr>
                    <w:t>24</w:t>
                  </w:r>
                </w:p>
              </w:tc>
              <w:tc>
                <w:tcPr>
                  <w:tcW w:w="539" w:type="dxa"/>
                  <w:vAlign w:val="center"/>
                </w:tcPr>
                <w:p>
                  <w:pPr>
                    <w:widowControl/>
                    <w:jc w:val="center"/>
                    <w:textAlignment w:val="center"/>
                    <w:rPr>
                      <w:sz w:val="18"/>
                      <w:szCs w:val="18"/>
                    </w:rPr>
                  </w:pPr>
                  <w:r>
                    <w:rPr>
                      <w:sz w:val="18"/>
                      <w:szCs w:val="18"/>
                    </w:rPr>
                    <w:t>45</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31</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0</w:t>
                  </w:r>
                </w:p>
              </w:tc>
              <w:tc>
                <w:tcPr>
                  <w:tcW w:w="803" w:type="dxa"/>
                  <w:vAlign w:val="center"/>
                </w:tcPr>
                <w:p>
                  <w:pPr>
                    <w:widowControl/>
                    <w:jc w:val="center"/>
                    <w:textAlignment w:val="center"/>
                    <w:rPr>
                      <w:sz w:val="18"/>
                      <w:szCs w:val="18"/>
                    </w:rPr>
                  </w:pPr>
                  <w:r>
                    <w:rPr>
                      <w:sz w:val="18"/>
                      <w:szCs w:val="18"/>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11</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9</w:t>
                  </w:r>
                </w:p>
              </w:tc>
              <w:tc>
                <w:tcPr>
                  <w:tcW w:w="528" w:type="dxa"/>
                  <w:vAlign w:val="center"/>
                </w:tcPr>
                <w:p>
                  <w:pPr>
                    <w:widowControl/>
                    <w:jc w:val="center"/>
                    <w:textAlignment w:val="center"/>
                    <w:rPr>
                      <w:sz w:val="18"/>
                      <w:szCs w:val="18"/>
                    </w:rPr>
                  </w:pPr>
                  <w:r>
                    <w:rPr>
                      <w:sz w:val="18"/>
                      <w:szCs w:val="18"/>
                    </w:rPr>
                    <w:t>33</w:t>
                  </w:r>
                </w:p>
              </w:tc>
              <w:tc>
                <w:tcPr>
                  <w:tcW w:w="571" w:type="dxa"/>
                  <w:vAlign w:val="center"/>
                </w:tcPr>
                <w:p>
                  <w:pPr>
                    <w:widowControl/>
                    <w:jc w:val="center"/>
                    <w:textAlignment w:val="center"/>
                    <w:rPr>
                      <w:sz w:val="18"/>
                      <w:szCs w:val="18"/>
                    </w:rPr>
                  </w:pPr>
                  <w:r>
                    <w:rPr>
                      <w:sz w:val="18"/>
                      <w:szCs w:val="18"/>
                    </w:rPr>
                    <w:t>1.1</w:t>
                  </w:r>
                </w:p>
              </w:tc>
              <w:tc>
                <w:tcPr>
                  <w:tcW w:w="496" w:type="dxa"/>
                  <w:vAlign w:val="center"/>
                </w:tcPr>
                <w:p>
                  <w:pPr>
                    <w:widowControl/>
                    <w:jc w:val="center"/>
                    <w:textAlignment w:val="center"/>
                    <w:rPr>
                      <w:sz w:val="18"/>
                      <w:szCs w:val="18"/>
                    </w:rPr>
                  </w:pPr>
                  <w:r>
                    <w:rPr>
                      <w:sz w:val="18"/>
                      <w:szCs w:val="18"/>
                    </w:rPr>
                    <w:t>61</w:t>
                  </w:r>
                </w:p>
              </w:tc>
              <w:tc>
                <w:tcPr>
                  <w:tcW w:w="562" w:type="dxa"/>
                  <w:vAlign w:val="center"/>
                </w:tcPr>
                <w:p>
                  <w:pPr>
                    <w:widowControl/>
                    <w:jc w:val="center"/>
                    <w:textAlignment w:val="center"/>
                    <w:rPr>
                      <w:sz w:val="18"/>
                      <w:szCs w:val="18"/>
                    </w:rPr>
                  </w:pPr>
                  <w:r>
                    <w:rPr>
                      <w:sz w:val="18"/>
                      <w:szCs w:val="18"/>
                    </w:rPr>
                    <w:t>25</w:t>
                  </w:r>
                </w:p>
              </w:tc>
              <w:tc>
                <w:tcPr>
                  <w:tcW w:w="539" w:type="dxa"/>
                  <w:vAlign w:val="center"/>
                </w:tcPr>
                <w:p>
                  <w:pPr>
                    <w:widowControl/>
                    <w:jc w:val="center"/>
                    <w:textAlignment w:val="center"/>
                    <w:rPr>
                      <w:sz w:val="18"/>
                      <w:szCs w:val="18"/>
                    </w:rPr>
                  </w:pPr>
                  <w:r>
                    <w:rPr>
                      <w:sz w:val="18"/>
                      <w:szCs w:val="18"/>
                    </w:rPr>
                    <w:t>44</w:t>
                  </w:r>
                </w:p>
              </w:tc>
              <w:tc>
                <w:tcPr>
                  <w:tcW w:w="919" w:type="dxa"/>
                  <w:vAlign w:val="center"/>
                </w:tcPr>
                <w:p>
                  <w:pPr>
                    <w:widowControl/>
                    <w:jc w:val="center"/>
                    <w:textAlignment w:val="center"/>
                    <w:rPr>
                      <w:sz w:val="18"/>
                      <w:szCs w:val="18"/>
                    </w:rPr>
                  </w:pPr>
                  <w:r>
                    <w:rPr>
                      <w:sz w:val="18"/>
                      <w:szCs w:val="18"/>
                    </w:rPr>
                    <w:t>30</w:t>
                  </w:r>
                </w:p>
              </w:tc>
              <w:tc>
                <w:tcPr>
                  <w:tcW w:w="884" w:type="dxa"/>
                  <w:vAlign w:val="center"/>
                </w:tcPr>
                <w:p>
                  <w:pPr>
                    <w:widowControl/>
                    <w:jc w:val="center"/>
                    <w:textAlignment w:val="center"/>
                    <w:rPr>
                      <w:sz w:val="18"/>
                      <w:szCs w:val="18"/>
                    </w:rPr>
                  </w:pPr>
                  <w:r>
                    <w:rPr>
                      <w:sz w:val="18"/>
                      <w:szCs w:val="18"/>
                    </w:rPr>
                    <w:t>30</w:t>
                  </w:r>
                </w:p>
              </w:tc>
              <w:tc>
                <w:tcPr>
                  <w:tcW w:w="611" w:type="dxa"/>
                  <w:vAlign w:val="center"/>
                </w:tcPr>
                <w:p>
                  <w:pPr>
                    <w:widowControl/>
                    <w:jc w:val="center"/>
                    <w:textAlignment w:val="center"/>
                    <w:rPr>
                      <w:sz w:val="18"/>
                      <w:szCs w:val="18"/>
                    </w:rPr>
                  </w:pPr>
                  <w:r>
                    <w:rPr>
                      <w:sz w:val="18"/>
                      <w:szCs w:val="18"/>
                    </w:rPr>
                    <w:t>100</w:t>
                  </w:r>
                </w:p>
              </w:tc>
              <w:tc>
                <w:tcPr>
                  <w:tcW w:w="872" w:type="dxa"/>
                  <w:vAlign w:val="center"/>
                </w:tcPr>
                <w:p>
                  <w:pPr>
                    <w:widowControl/>
                    <w:jc w:val="center"/>
                    <w:textAlignment w:val="center"/>
                    <w:rPr>
                      <w:sz w:val="18"/>
                      <w:szCs w:val="18"/>
                    </w:rPr>
                  </w:pPr>
                  <w:r>
                    <w:rPr>
                      <w:sz w:val="18"/>
                      <w:szCs w:val="18"/>
                    </w:rPr>
                    <w:t>10</w:t>
                  </w:r>
                </w:p>
              </w:tc>
              <w:tc>
                <w:tcPr>
                  <w:tcW w:w="803" w:type="dxa"/>
                  <w:vAlign w:val="center"/>
                </w:tcPr>
                <w:p>
                  <w:pPr>
                    <w:widowControl/>
                    <w:jc w:val="center"/>
                    <w:textAlignment w:val="center"/>
                    <w:rPr>
                      <w:sz w:val="18"/>
                      <w:szCs w:val="18"/>
                    </w:rPr>
                  </w:pPr>
                  <w:r>
                    <w:rPr>
                      <w:sz w:val="18"/>
                      <w:szCs w:val="18"/>
                    </w:rPr>
                    <w:t>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 w:hRule="atLeast"/>
                <w:jc w:val="center"/>
              </w:trPr>
              <w:tc>
                <w:tcPr>
                  <w:tcW w:w="627" w:type="dxa"/>
                  <w:vAlign w:val="center"/>
                </w:tcPr>
                <w:p>
                  <w:pPr>
                    <w:widowControl/>
                    <w:jc w:val="center"/>
                    <w:textAlignment w:val="center"/>
                    <w:rPr>
                      <w:sz w:val="18"/>
                      <w:szCs w:val="18"/>
                    </w:rPr>
                  </w:pPr>
                  <w:r>
                    <w:rPr>
                      <w:sz w:val="18"/>
                      <w:szCs w:val="18"/>
                    </w:rPr>
                    <w:t>12</w:t>
                  </w:r>
                  <w:r>
                    <w:rPr>
                      <w:rFonts w:ascii="宋体" w:hAnsi="宋体"/>
                      <w:sz w:val="18"/>
                      <w:szCs w:val="18"/>
                    </w:rPr>
                    <w:t>月</w:t>
                  </w:r>
                </w:p>
              </w:tc>
              <w:tc>
                <w:tcPr>
                  <w:tcW w:w="550" w:type="dxa"/>
                  <w:vAlign w:val="center"/>
                </w:tcPr>
                <w:p>
                  <w:pPr>
                    <w:widowControl/>
                    <w:jc w:val="center"/>
                    <w:textAlignment w:val="center"/>
                    <w:rPr>
                      <w:sz w:val="18"/>
                      <w:szCs w:val="18"/>
                    </w:rPr>
                  </w:pPr>
                  <w:r>
                    <w:rPr>
                      <w:sz w:val="18"/>
                      <w:szCs w:val="18"/>
                    </w:rPr>
                    <w:t>10</w:t>
                  </w:r>
                </w:p>
              </w:tc>
              <w:tc>
                <w:tcPr>
                  <w:tcW w:w="528" w:type="dxa"/>
                  <w:vAlign w:val="center"/>
                </w:tcPr>
                <w:p>
                  <w:pPr>
                    <w:widowControl/>
                    <w:jc w:val="center"/>
                    <w:textAlignment w:val="center"/>
                    <w:rPr>
                      <w:sz w:val="18"/>
                      <w:szCs w:val="18"/>
                    </w:rPr>
                  </w:pPr>
                  <w:r>
                    <w:rPr>
                      <w:sz w:val="18"/>
                      <w:szCs w:val="18"/>
                    </w:rPr>
                    <w:t>41</w:t>
                  </w:r>
                </w:p>
              </w:tc>
              <w:tc>
                <w:tcPr>
                  <w:tcW w:w="571" w:type="dxa"/>
                  <w:vAlign w:val="center"/>
                </w:tcPr>
                <w:p>
                  <w:pPr>
                    <w:widowControl/>
                    <w:jc w:val="center"/>
                    <w:textAlignment w:val="center"/>
                    <w:rPr>
                      <w:sz w:val="18"/>
                      <w:szCs w:val="18"/>
                    </w:rPr>
                  </w:pPr>
                  <w:r>
                    <w:rPr>
                      <w:sz w:val="18"/>
                      <w:szCs w:val="18"/>
                    </w:rPr>
                    <w:t>1.4</w:t>
                  </w:r>
                </w:p>
              </w:tc>
              <w:tc>
                <w:tcPr>
                  <w:tcW w:w="496" w:type="dxa"/>
                  <w:vAlign w:val="center"/>
                </w:tcPr>
                <w:p>
                  <w:pPr>
                    <w:widowControl/>
                    <w:jc w:val="center"/>
                    <w:textAlignment w:val="center"/>
                    <w:rPr>
                      <w:sz w:val="18"/>
                      <w:szCs w:val="18"/>
                    </w:rPr>
                  </w:pPr>
                  <w:r>
                    <w:rPr>
                      <w:sz w:val="18"/>
                      <w:szCs w:val="18"/>
                    </w:rPr>
                    <w:t>52</w:t>
                  </w:r>
                </w:p>
              </w:tc>
              <w:tc>
                <w:tcPr>
                  <w:tcW w:w="562" w:type="dxa"/>
                  <w:vAlign w:val="center"/>
                </w:tcPr>
                <w:p>
                  <w:pPr>
                    <w:widowControl/>
                    <w:jc w:val="center"/>
                    <w:textAlignment w:val="center"/>
                    <w:rPr>
                      <w:sz w:val="18"/>
                      <w:szCs w:val="18"/>
                    </w:rPr>
                  </w:pPr>
                  <w:r>
                    <w:rPr>
                      <w:sz w:val="18"/>
                      <w:szCs w:val="18"/>
                    </w:rPr>
                    <w:t>65</w:t>
                  </w:r>
                </w:p>
              </w:tc>
              <w:tc>
                <w:tcPr>
                  <w:tcW w:w="539" w:type="dxa"/>
                  <w:vAlign w:val="center"/>
                </w:tcPr>
                <w:p>
                  <w:pPr>
                    <w:widowControl/>
                    <w:jc w:val="center"/>
                    <w:textAlignment w:val="center"/>
                    <w:rPr>
                      <w:sz w:val="18"/>
                      <w:szCs w:val="18"/>
                    </w:rPr>
                  </w:pPr>
                  <w:r>
                    <w:rPr>
                      <w:sz w:val="18"/>
                      <w:szCs w:val="18"/>
                    </w:rPr>
                    <w:t>92</w:t>
                  </w:r>
                </w:p>
              </w:tc>
              <w:tc>
                <w:tcPr>
                  <w:tcW w:w="919" w:type="dxa"/>
                  <w:vAlign w:val="center"/>
                </w:tcPr>
                <w:p>
                  <w:pPr>
                    <w:widowControl/>
                    <w:jc w:val="center"/>
                    <w:textAlignment w:val="center"/>
                    <w:rPr>
                      <w:sz w:val="18"/>
                      <w:szCs w:val="18"/>
                    </w:rPr>
                  </w:pPr>
                  <w:r>
                    <w:rPr>
                      <w:sz w:val="18"/>
                      <w:szCs w:val="18"/>
                    </w:rPr>
                    <w:t>31</w:t>
                  </w:r>
                </w:p>
              </w:tc>
              <w:tc>
                <w:tcPr>
                  <w:tcW w:w="884" w:type="dxa"/>
                  <w:vAlign w:val="center"/>
                </w:tcPr>
                <w:p>
                  <w:pPr>
                    <w:widowControl/>
                    <w:jc w:val="center"/>
                    <w:textAlignment w:val="center"/>
                    <w:rPr>
                      <w:sz w:val="18"/>
                      <w:szCs w:val="18"/>
                    </w:rPr>
                  </w:pPr>
                  <w:r>
                    <w:rPr>
                      <w:sz w:val="18"/>
                      <w:szCs w:val="18"/>
                    </w:rPr>
                    <w:t>22</w:t>
                  </w:r>
                </w:p>
              </w:tc>
              <w:tc>
                <w:tcPr>
                  <w:tcW w:w="611" w:type="dxa"/>
                  <w:vAlign w:val="center"/>
                </w:tcPr>
                <w:p>
                  <w:pPr>
                    <w:widowControl/>
                    <w:jc w:val="center"/>
                    <w:textAlignment w:val="center"/>
                    <w:rPr>
                      <w:sz w:val="18"/>
                      <w:szCs w:val="18"/>
                    </w:rPr>
                  </w:pPr>
                  <w:r>
                    <w:rPr>
                      <w:sz w:val="18"/>
                      <w:szCs w:val="18"/>
                    </w:rPr>
                    <w:t>71</w:t>
                  </w:r>
                </w:p>
              </w:tc>
              <w:tc>
                <w:tcPr>
                  <w:tcW w:w="872" w:type="dxa"/>
                  <w:vAlign w:val="center"/>
                </w:tcPr>
                <w:p>
                  <w:pPr>
                    <w:widowControl/>
                    <w:jc w:val="center"/>
                    <w:textAlignment w:val="center"/>
                    <w:rPr>
                      <w:sz w:val="18"/>
                      <w:szCs w:val="18"/>
                    </w:rPr>
                  </w:pPr>
                  <w:r>
                    <w:rPr>
                      <w:sz w:val="18"/>
                      <w:szCs w:val="18"/>
                    </w:rPr>
                    <w:t>6.5</w:t>
                  </w:r>
                </w:p>
              </w:tc>
              <w:tc>
                <w:tcPr>
                  <w:tcW w:w="803" w:type="dxa"/>
                  <w:vAlign w:val="center"/>
                </w:tcPr>
                <w:p>
                  <w:pPr>
                    <w:widowControl/>
                    <w:jc w:val="center"/>
                    <w:textAlignment w:val="center"/>
                    <w:rPr>
                      <w:sz w:val="18"/>
                      <w:szCs w:val="18"/>
                    </w:rPr>
                  </w:pPr>
                  <w:r>
                    <w:rPr>
                      <w:sz w:val="18"/>
                      <w:szCs w:val="18"/>
                    </w:rPr>
                    <w:t>5.04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 w:hRule="atLeast"/>
                <w:jc w:val="center"/>
              </w:trPr>
              <w:tc>
                <w:tcPr>
                  <w:tcW w:w="627" w:type="dxa"/>
                  <w:vAlign w:val="center"/>
                </w:tcPr>
                <w:p>
                  <w:pPr>
                    <w:pStyle w:val="19"/>
                    <w:autoSpaceDE w:val="0"/>
                    <w:spacing w:before="0" w:beforeAutospacing="0" w:after="0" w:afterAutospacing="0" w:line="280" w:lineRule="exact"/>
                    <w:jc w:val="center"/>
                    <w:rPr>
                      <w:rFonts w:ascii="Times New Roman" w:hAnsi="Times New Roman"/>
                      <w:sz w:val="18"/>
                      <w:szCs w:val="18"/>
                    </w:rPr>
                  </w:pPr>
                  <w:r>
                    <w:rPr>
                      <w:sz w:val="18"/>
                      <w:szCs w:val="18"/>
                    </w:rPr>
                    <w:t>平均值</w:t>
                  </w:r>
                </w:p>
              </w:tc>
              <w:tc>
                <w:tcPr>
                  <w:tcW w:w="550" w:type="dxa"/>
                  <w:vAlign w:val="center"/>
                </w:tcPr>
                <w:p>
                  <w:pPr>
                    <w:widowControl/>
                    <w:jc w:val="center"/>
                    <w:textAlignment w:val="center"/>
                    <w:rPr>
                      <w:sz w:val="18"/>
                      <w:szCs w:val="18"/>
                    </w:rPr>
                  </w:pPr>
                  <w:r>
                    <w:rPr>
                      <w:sz w:val="18"/>
                      <w:szCs w:val="18"/>
                    </w:rPr>
                    <w:t>8</w:t>
                  </w:r>
                </w:p>
              </w:tc>
              <w:tc>
                <w:tcPr>
                  <w:tcW w:w="528" w:type="dxa"/>
                  <w:vAlign w:val="center"/>
                </w:tcPr>
                <w:p>
                  <w:pPr>
                    <w:widowControl/>
                    <w:jc w:val="center"/>
                    <w:textAlignment w:val="center"/>
                    <w:rPr>
                      <w:sz w:val="18"/>
                      <w:szCs w:val="18"/>
                    </w:rPr>
                  </w:pPr>
                  <w:r>
                    <w:rPr>
                      <w:sz w:val="18"/>
                      <w:szCs w:val="18"/>
                    </w:rPr>
                    <w:t>34</w:t>
                  </w:r>
                </w:p>
              </w:tc>
              <w:tc>
                <w:tcPr>
                  <w:tcW w:w="571" w:type="dxa"/>
                  <w:vAlign w:val="center"/>
                </w:tcPr>
                <w:p>
                  <w:pPr>
                    <w:widowControl/>
                    <w:jc w:val="center"/>
                    <w:textAlignment w:val="center"/>
                    <w:rPr>
                      <w:sz w:val="18"/>
                      <w:szCs w:val="18"/>
                    </w:rPr>
                  </w:pPr>
                  <w:r>
                    <w:rPr>
                      <w:sz w:val="18"/>
                      <w:szCs w:val="18"/>
                    </w:rPr>
                    <w:t>1.2</w:t>
                  </w:r>
                </w:p>
              </w:tc>
              <w:tc>
                <w:tcPr>
                  <w:tcW w:w="496" w:type="dxa"/>
                  <w:vAlign w:val="center"/>
                </w:tcPr>
                <w:p>
                  <w:pPr>
                    <w:widowControl/>
                    <w:jc w:val="center"/>
                    <w:textAlignment w:val="center"/>
                    <w:rPr>
                      <w:sz w:val="18"/>
                      <w:szCs w:val="18"/>
                    </w:rPr>
                  </w:pPr>
                  <w:r>
                    <w:rPr>
                      <w:sz w:val="18"/>
                      <w:szCs w:val="18"/>
                    </w:rPr>
                    <w:t>118</w:t>
                  </w:r>
                </w:p>
              </w:tc>
              <w:tc>
                <w:tcPr>
                  <w:tcW w:w="562" w:type="dxa"/>
                  <w:vAlign w:val="center"/>
                </w:tcPr>
                <w:p>
                  <w:pPr>
                    <w:widowControl/>
                    <w:jc w:val="center"/>
                    <w:textAlignment w:val="center"/>
                    <w:rPr>
                      <w:sz w:val="18"/>
                      <w:szCs w:val="18"/>
                    </w:rPr>
                  </w:pPr>
                  <w:r>
                    <w:rPr>
                      <w:sz w:val="18"/>
                      <w:szCs w:val="18"/>
                    </w:rPr>
                    <w:t>30</w:t>
                  </w:r>
                </w:p>
              </w:tc>
              <w:tc>
                <w:tcPr>
                  <w:tcW w:w="539" w:type="dxa"/>
                  <w:vAlign w:val="center"/>
                </w:tcPr>
                <w:p>
                  <w:pPr>
                    <w:widowControl/>
                    <w:jc w:val="center"/>
                    <w:textAlignment w:val="center"/>
                    <w:rPr>
                      <w:sz w:val="18"/>
                      <w:szCs w:val="18"/>
                    </w:rPr>
                  </w:pPr>
                  <w:r>
                    <w:rPr>
                      <w:sz w:val="18"/>
                      <w:szCs w:val="18"/>
                    </w:rPr>
                    <w:t>42</w:t>
                  </w:r>
                </w:p>
              </w:tc>
              <w:tc>
                <w:tcPr>
                  <w:tcW w:w="919" w:type="dxa"/>
                  <w:vAlign w:val="center"/>
                </w:tcPr>
                <w:p>
                  <w:pPr>
                    <w:widowControl/>
                    <w:jc w:val="center"/>
                    <w:textAlignment w:val="center"/>
                    <w:rPr>
                      <w:sz w:val="18"/>
                      <w:szCs w:val="18"/>
                    </w:rPr>
                  </w:pPr>
                  <w:r>
                    <w:rPr>
                      <w:sz w:val="18"/>
                      <w:szCs w:val="18"/>
                    </w:rPr>
                    <w:t>365</w:t>
                  </w:r>
                </w:p>
                <w:p>
                  <w:pPr>
                    <w:widowControl/>
                    <w:jc w:val="center"/>
                    <w:textAlignment w:val="center"/>
                    <w:rPr>
                      <w:sz w:val="18"/>
                      <w:szCs w:val="18"/>
                    </w:rPr>
                  </w:pPr>
                  <w:r>
                    <w:rPr>
                      <w:rFonts w:ascii="宋体" w:hAnsi="宋体"/>
                      <w:sz w:val="18"/>
                      <w:szCs w:val="18"/>
                    </w:rPr>
                    <w:t>（总天数）</w:t>
                  </w:r>
                </w:p>
              </w:tc>
              <w:tc>
                <w:tcPr>
                  <w:tcW w:w="884" w:type="dxa"/>
                  <w:vAlign w:val="center"/>
                </w:tcPr>
                <w:p>
                  <w:pPr>
                    <w:widowControl/>
                    <w:jc w:val="center"/>
                    <w:textAlignment w:val="center"/>
                    <w:rPr>
                      <w:sz w:val="18"/>
                      <w:szCs w:val="18"/>
                    </w:rPr>
                  </w:pPr>
                  <w:r>
                    <w:rPr>
                      <w:sz w:val="18"/>
                      <w:szCs w:val="18"/>
                    </w:rPr>
                    <w:t>341</w:t>
                  </w:r>
                </w:p>
                <w:p>
                  <w:pPr>
                    <w:widowControl/>
                    <w:jc w:val="center"/>
                    <w:textAlignment w:val="center"/>
                    <w:rPr>
                      <w:sz w:val="18"/>
                      <w:szCs w:val="18"/>
                    </w:rPr>
                  </w:pPr>
                  <w:r>
                    <w:rPr>
                      <w:rFonts w:ascii="宋体" w:hAnsi="宋体"/>
                      <w:sz w:val="18"/>
                      <w:szCs w:val="18"/>
                    </w:rPr>
                    <w:t>（总天数）</w:t>
                  </w:r>
                </w:p>
              </w:tc>
              <w:tc>
                <w:tcPr>
                  <w:tcW w:w="611" w:type="dxa"/>
                  <w:vAlign w:val="center"/>
                </w:tcPr>
                <w:p>
                  <w:pPr>
                    <w:widowControl/>
                    <w:jc w:val="center"/>
                    <w:textAlignment w:val="center"/>
                    <w:rPr>
                      <w:sz w:val="18"/>
                      <w:szCs w:val="18"/>
                    </w:rPr>
                  </w:pPr>
                  <w:r>
                    <w:rPr>
                      <w:sz w:val="18"/>
                      <w:szCs w:val="18"/>
                    </w:rPr>
                    <w:t>93.4</w:t>
                  </w:r>
                </w:p>
              </w:tc>
              <w:tc>
                <w:tcPr>
                  <w:tcW w:w="872" w:type="dxa"/>
                  <w:vAlign w:val="center"/>
                </w:tcPr>
                <w:p>
                  <w:pPr>
                    <w:widowControl/>
                    <w:jc w:val="center"/>
                    <w:textAlignment w:val="center"/>
                    <w:rPr>
                      <w:sz w:val="18"/>
                      <w:szCs w:val="18"/>
                    </w:rPr>
                  </w:pPr>
                  <w:r>
                    <w:rPr>
                      <w:sz w:val="18"/>
                      <w:szCs w:val="18"/>
                    </w:rPr>
                    <w:t>4.76</w:t>
                  </w:r>
                </w:p>
              </w:tc>
              <w:tc>
                <w:tcPr>
                  <w:tcW w:w="803" w:type="dxa"/>
                  <w:vAlign w:val="center"/>
                </w:tcPr>
                <w:p>
                  <w:pPr>
                    <w:widowControl/>
                    <w:jc w:val="center"/>
                    <w:textAlignment w:val="center"/>
                    <w:rPr>
                      <w:sz w:val="18"/>
                      <w:szCs w:val="18"/>
                    </w:rPr>
                  </w:pPr>
                  <w:r>
                    <w:rPr>
                      <w:sz w:val="18"/>
                      <w:szCs w:val="18"/>
                    </w:rPr>
                    <w:t>3.41</w:t>
                  </w:r>
                </w:p>
              </w:tc>
            </w:tr>
          </w:tbl>
          <w:p>
            <w:pPr>
              <w:autoSpaceDE w:val="0"/>
              <w:autoSpaceDN w:val="0"/>
              <w:adjustRightInd w:val="0"/>
              <w:snapToGrid w:val="0"/>
              <w:spacing w:line="400" w:lineRule="exact"/>
              <w:ind w:firstLine="420" w:firstLineChars="200"/>
              <w:jc w:val="left"/>
              <w:rPr>
                <w:rFonts w:cs="宋体"/>
                <w:szCs w:val="21"/>
              </w:rPr>
            </w:pPr>
            <w:r>
              <w:rPr>
                <w:rFonts w:hint="eastAsia" w:cs="宋体"/>
                <w:szCs w:val="21"/>
              </w:rPr>
              <w:t>根据</w:t>
            </w:r>
            <w:r>
              <w:rPr>
                <w:rFonts w:hint="eastAsia" w:cs="宋体"/>
                <w:kern w:val="0"/>
                <w:szCs w:val="21"/>
              </w:rPr>
              <w:t>《达州市2022年环境空气质量状况》，达州市通川区2022年环境空气质量达标率93.4%。</w:t>
            </w:r>
            <w:r>
              <w:rPr>
                <w:rFonts w:hint="eastAsia" w:cs="宋体"/>
                <w:szCs w:val="21"/>
              </w:rPr>
              <w:t>项目所在区域为环境空气质量达标区。</w:t>
            </w:r>
          </w:p>
          <w:p>
            <w:pPr>
              <w:adjustRightInd w:val="0"/>
              <w:snapToGrid w:val="0"/>
              <w:spacing w:line="400" w:lineRule="exact"/>
              <w:ind w:left="-53" w:leftChars="-25" w:right="-53" w:rightChars="-25"/>
              <w:jc w:val="left"/>
              <w:rPr>
                <w:rFonts w:eastAsia="黑体"/>
                <w:bCs/>
                <w:szCs w:val="21"/>
              </w:rPr>
            </w:pPr>
            <w:r>
              <w:rPr>
                <w:rFonts w:eastAsia="黑体"/>
                <w:bCs/>
                <w:szCs w:val="21"/>
              </w:rPr>
              <w:t>2、地表水环境质量现状及评价</w:t>
            </w:r>
          </w:p>
          <w:p>
            <w:pPr>
              <w:autoSpaceDE w:val="0"/>
              <w:autoSpaceDN w:val="0"/>
              <w:adjustRightInd w:val="0"/>
              <w:snapToGrid w:val="0"/>
              <w:spacing w:line="400" w:lineRule="exact"/>
              <w:ind w:firstLine="420" w:firstLineChars="200"/>
              <w:jc w:val="left"/>
            </w:pPr>
            <w:r>
              <w:t>本项目锅炉废水利用现有废水池处理后，最终进入东岳场镇污水处理厂处理后达标排入双龙河。因此，项目受纳水体为南面的双龙河</w:t>
            </w:r>
            <w:r>
              <w:rPr>
                <w:rFonts w:hint="eastAsia"/>
              </w:rPr>
              <w:t>。</w:t>
            </w:r>
          </w:p>
          <w:p>
            <w:pPr>
              <w:autoSpaceDE w:val="0"/>
              <w:autoSpaceDN w:val="0"/>
              <w:adjustRightInd w:val="0"/>
              <w:snapToGrid w:val="0"/>
              <w:spacing w:line="400" w:lineRule="exact"/>
              <w:ind w:firstLine="420" w:firstLineChars="200"/>
              <w:jc w:val="left"/>
            </w:pPr>
            <w:r>
              <w:rPr>
                <w:rFonts w:hint="eastAsia"/>
              </w:rPr>
              <w:t>根据《通川区河长制断面水质检测》报告（融华检测（2022）字第031102号），本次环评引用该报告中“双龙河东岳、复兴交界断面（E107.438950°，N31.265016°）”数据，根据调查，该断面位于项目下游约6.0km，监测时间为2022年3月11日，距离评价时间为1年零2个月，在引用的时效范围。根据该检测报告，项目所在</w:t>
            </w:r>
            <w:r>
              <w:t>区域</w:t>
            </w:r>
            <w:r>
              <w:rPr>
                <w:rFonts w:hint="eastAsia"/>
              </w:rPr>
              <w:t>双龙河</w:t>
            </w:r>
            <w:r>
              <w:t>水质</w:t>
            </w:r>
            <w:r>
              <w:rPr>
                <w:rFonts w:hint="eastAsia"/>
              </w:rPr>
              <w:t>监测结果</w:t>
            </w:r>
            <w:r>
              <w:t>如下。</w:t>
            </w:r>
          </w:p>
          <w:p>
            <w:pPr>
              <w:autoSpaceDE w:val="0"/>
              <w:autoSpaceDN w:val="0"/>
              <w:adjustRightInd w:val="0"/>
              <w:snapToGrid w:val="0"/>
              <w:spacing w:line="320" w:lineRule="exact"/>
              <w:jc w:val="center"/>
              <w:rPr>
                <w:rFonts w:eastAsia="黑体"/>
                <w:kern w:val="0"/>
                <w:sz w:val="18"/>
                <w:szCs w:val="20"/>
              </w:rPr>
            </w:pPr>
            <w:r>
              <w:rPr>
                <w:rFonts w:ascii="黑体" w:hAnsi="黑体" w:eastAsia="黑体"/>
                <w:kern w:val="0"/>
                <w:sz w:val="18"/>
                <w:szCs w:val="20"/>
              </w:rPr>
              <w:t>表</w:t>
            </w:r>
            <w:r>
              <w:rPr>
                <w:rFonts w:hint="eastAsia" w:ascii="黑体" w:hAnsi="黑体" w:eastAsia="黑体"/>
                <w:kern w:val="0"/>
                <w:sz w:val="18"/>
                <w:szCs w:val="20"/>
              </w:rPr>
              <w:t xml:space="preserve">3-2   </w:t>
            </w:r>
            <w:r>
              <w:rPr>
                <w:rFonts w:ascii="黑体" w:hAnsi="黑体" w:eastAsia="黑体"/>
                <w:kern w:val="0"/>
                <w:sz w:val="18"/>
                <w:szCs w:val="20"/>
              </w:rPr>
              <w:t>双龙河东岳、复兴交界断面水质</w:t>
            </w:r>
            <w:r>
              <w:rPr>
                <w:rFonts w:hint="eastAsia" w:ascii="黑体" w:hAnsi="黑体" w:eastAsia="黑体"/>
                <w:kern w:val="0"/>
                <w:sz w:val="18"/>
                <w:szCs w:val="20"/>
              </w:rPr>
              <w:t>监测</w:t>
            </w:r>
            <w:r>
              <w:rPr>
                <w:rFonts w:ascii="黑体" w:hAnsi="黑体" w:eastAsia="黑体"/>
                <w:kern w:val="0"/>
                <w:sz w:val="18"/>
                <w:szCs w:val="20"/>
              </w:rPr>
              <w:t>结果表</w:t>
            </w:r>
          </w:p>
          <w:tbl>
            <w:tblPr>
              <w:tblStyle w:val="21"/>
              <w:tblW w:w="78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1"/>
              <w:gridCol w:w="2680"/>
              <w:gridCol w:w="1196"/>
              <w:gridCol w:w="1059"/>
              <w:gridCol w:w="1196"/>
              <w:gridCol w:w="560"/>
              <w:gridCol w:w="6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541" w:type="dxa"/>
                  <w:vMerge w:val="restart"/>
                  <w:tcBorders>
                    <w:top w:val="single" w:color="auto" w:sz="4" w:space="0"/>
                    <w:left w:val="single" w:color="auto" w:sz="2" w:space="0"/>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点位</w:t>
                  </w:r>
                </w:p>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编号</w:t>
                  </w:r>
                </w:p>
              </w:tc>
              <w:tc>
                <w:tcPr>
                  <w:tcW w:w="2680" w:type="dxa"/>
                  <w:vMerge w:val="restart"/>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检测点位</w:t>
                  </w:r>
                </w:p>
              </w:tc>
              <w:tc>
                <w:tcPr>
                  <w:tcW w:w="1196" w:type="dxa"/>
                  <w:vMerge w:val="restart"/>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样品状态</w:t>
                  </w:r>
                </w:p>
              </w:tc>
              <w:tc>
                <w:tcPr>
                  <w:tcW w:w="3421" w:type="dxa"/>
                  <w:gridSpan w:val="4"/>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b/>
                      <w:bCs/>
                      <w:sz w:val="18"/>
                      <w:szCs w:val="18"/>
                    </w:rPr>
                    <w:t>检测结果</w:t>
                  </w:r>
                  <w:r>
                    <w:rPr>
                      <w:rFonts w:hint="eastAsia"/>
                      <w:b/>
                      <w:bCs/>
                      <w:sz w:val="18"/>
                      <w:szCs w:val="18"/>
                    </w:rPr>
                    <w:t>（</w:t>
                  </w:r>
                  <w:r>
                    <w:rPr>
                      <w:rFonts w:hint="eastAsia" w:ascii="Times New Roman" w:hAnsi="Times New Roman"/>
                      <w:b/>
                      <w:bCs/>
                      <w:sz w:val="18"/>
                      <w:szCs w:val="18"/>
                    </w:rPr>
                    <w:t>mg/L</w:t>
                  </w:r>
                  <w:r>
                    <w:rPr>
                      <w:rFonts w:hint="eastAsia"/>
                      <w:b/>
                      <w:bCs/>
                      <w:sz w:val="18"/>
                      <w:szCs w:val="18"/>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541" w:type="dxa"/>
                  <w:vMerge w:val="continue"/>
                  <w:tcBorders>
                    <w:top w:val="single" w:color="auto" w:sz="4" w:space="0"/>
                    <w:left w:val="single" w:color="auto" w:sz="2" w:space="0"/>
                    <w:bottom w:val="single" w:color="auto" w:sz="4" w:space="0"/>
                    <w:right w:val="single" w:color="auto" w:sz="4" w:space="0"/>
                  </w:tcBorders>
                  <w:vAlign w:val="center"/>
                </w:tcPr>
                <w:p>
                  <w:pPr>
                    <w:widowControl/>
                    <w:jc w:val="left"/>
                    <w:rPr>
                      <w:b/>
                      <w:bCs/>
                      <w:sz w:val="18"/>
                      <w:szCs w:val="18"/>
                    </w:rPr>
                  </w:pPr>
                </w:p>
              </w:tc>
              <w:tc>
                <w:tcPr>
                  <w:tcW w:w="2680"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c>
                <w:tcPr>
                  <w:tcW w:w="1196"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c>
                <w:tcPr>
                  <w:tcW w:w="1059"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b/>
                      <w:bCs/>
                      <w:sz w:val="18"/>
                      <w:szCs w:val="18"/>
                    </w:rPr>
                    <w:t>化学需氧量</w:t>
                  </w:r>
                </w:p>
              </w:tc>
              <w:tc>
                <w:tcPr>
                  <w:tcW w:w="119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b/>
                      <w:bCs/>
                      <w:sz w:val="18"/>
                      <w:szCs w:val="18"/>
                    </w:rPr>
                    <w:t>高锰酸盐指数</w:t>
                  </w:r>
                </w:p>
              </w:tc>
              <w:tc>
                <w:tcPr>
                  <w:tcW w:w="560"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氨氮</w:t>
                  </w:r>
                </w:p>
              </w:tc>
              <w:tc>
                <w:tcPr>
                  <w:tcW w:w="60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总磷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3#</w:t>
                  </w:r>
                </w:p>
              </w:tc>
              <w:tc>
                <w:tcPr>
                  <w:tcW w:w="2680"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sz w:val="18"/>
                      <w:szCs w:val="18"/>
                    </w:rPr>
                    <w:t>双龙河东岳、复兴交界断面</w:t>
                  </w:r>
                </w:p>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sz w:val="18"/>
                      <w:szCs w:val="18"/>
                    </w:rPr>
                    <w:t>（</w:t>
                  </w:r>
                  <w:r>
                    <w:rPr>
                      <w:rFonts w:hint="eastAsia" w:ascii="Times New Roman" w:hAnsi="Times New Roman"/>
                      <w:sz w:val="18"/>
                      <w:szCs w:val="18"/>
                    </w:rPr>
                    <w:t>E</w:t>
                  </w:r>
                  <w:r>
                    <w:rPr>
                      <w:rFonts w:ascii="Times New Roman" w:hAnsi="Times New Roman"/>
                      <w:sz w:val="18"/>
                      <w:szCs w:val="18"/>
                    </w:rPr>
                    <w:t>107</w:t>
                  </w:r>
                  <w:r>
                    <w:rPr>
                      <w:rFonts w:hint="eastAsia" w:ascii="Times New Roman" w:hAnsi="Times New Roman"/>
                      <w:sz w:val="18"/>
                      <w:szCs w:val="18"/>
                    </w:rPr>
                    <w:t>.438950</w:t>
                  </w:r>
                  <w:r>
                    <w:rPr>
                      <w:rFonts w:ascii="Times New Roman" w:hAnsi="Times New Roman"/>
                      <w:sz w:val="18"/>
                      <w:szCs w:val="18"/>
                    </w:rPr>
                    <w:t>°</w:t>
                  </w:r>
                  <w:r>
                    <w:rPr>
                      <w:sz w:val="18"/>
                      <w:szCs w:val="18"/>
                    </w:rPr>
                    <w:t>，</w:t>
                  </w:r>
                  <w:r>
                    <w:rPr>
                      <w:rFonts w:hint="eastAsia" w:ascii="Times New Roman" w:hAnsi="Times New Roman"/>
                      <w:sz w:val="18"/>
                      <w:szCs w:val="18"/>
                    </w:rPr>
                    <w:t>N</w:t>
                  </w:r>
                  <w:r>
                    <w:rPr>
                      <w:rFonts w:ascii="Times New Roman" w:hAnsi="Times New Roman"/>
                      <w:sz w:val="18"/>
                      <w:szCs w:val="18"/>
                    </w:rPr>
                    <w:t>3</w:t>
                  </w:r>
                  <w:r>
                    <w:rPr>
                      <w:rFonts w:hint="eastAsia" w:ascii="Times New Roman" w:hAnsi="Times New Roman"/>
                      <w:sz w:val="18"/>
                      <w:szCs w:val="18"/>
                    </w:rPr>
                    <w:t>1.265016</w:t>
                  </w:r>
                  <w:r>
                    <w:rPr>
                      <w:rFonts w:ascii="Times New Roman" w:hAnsi="Times New Roman"/>
                      <w:sz w:val="18"/>
                      <w:szCs w:val="18"/>
                    </w:rPr>
                    <w:t>°</w:t>
                  </w:r>
                  <w:r>
                    <w:rPr>
                      <w:sz w:val="18"/>
                      <w:szCs w:val="18"/>
                    </w:rPr>
                    <w:t>）</w:t>
                  </w:r>
                </w:p>
              </w:tc>
              <w:tc>
                <w:tcPr>
                  <w:tcW w:w="119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sz w:val="18"/>
                      <w:szCs w:val="18"/>
                    </w:rPr>
                    <w:t>无色、无味、</w:t>
                  </w:r>
                </w:p>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sz w:val="18"/>
                      <w:szCs w:val="18"/>
                    </w:rPr>
                    <w:t>透明、无油膜</w:t>
                  </w:r>
                </w:p>
              </w:tc>
              <w:tc>
                <w:tcPr>
                  <w:tcW w:w="1059"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7</w:t>
                  </w:r>
                </w:p>
              </w:tc>
              <w:tc>
                <w:tcPr>
                  <w:tcW w:w="119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2.51</w:t>
                  </w:r>
                </w:p>
              </w:tc>
              <w:tc>
                <w:tcPr>
                  <w:tcW w:w="560"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0.452</w:t>
                  </w:r>
                </w:p>
              </w:tc>
              <w:tc>
                <w:tcPr>
                  <w:tcW w:w="60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0.06</w:t>
                  </w:r>
                </w:p>
              </w:tc>
            </w:tr>
          </w:tbl>
          <w:p>
            <w:pPr>
              <w:autoSpaceDE w:val="0"/>
              <w:autoSpaceDN w:val="0"/>
              <w:adjustRightInd w:val="0"/>
              <w:snapToGrid w:val="0"/>
              <w:spacing w:line="320" w:lineRule="exact"/>
              <w:jc w:val="center"/>
              <w:rPr>
                <w:rFonts w:ascii="黑体" w:hAnsi="黑体" w:eastAsia="黑体"/>
                <w:kern w:val="0"/>
                <w:sz w:val="18"/>
                <w:szCs w:val="20"/>
              </w:rPr>
            </w:pPr>
          </w:p>
          <w:p>
            <w:pPr>
              <w:autoSpaceDE w:val="0"/>
              <w:autoSpaceDN w:val="0"/>
              <w:adjustRightInd w:val="0"/>
              <w:snapToGrid w:val="0"/>
              <w:spacing w:line="320" w:lineRule="exact"/>
              <w:jc w:val="center"/>
              <w:rPr>
                <w:rFonts w:ascii="黑体" w:hAnsi="黑体" w:eastAsia="黑体"/>
                <w:kern w:val="0"/>
                <w:sz w:val="18"/>
                <w:szCs w:val="20"/>
              </w:rPr>
            </w:pPr>
          </w:p>
          <w:p>
            <w:pPr>
              <w:autoSpaceDE w:val="0"/>
              <w:autoSpaceDN w:val="0"/>
              <w:adjustRightInd w:val="0"/>
              <w:snapToGrid w:val="0"/>
              <w:spacing w:line="320" w:lineRule="exact"/>
              <w:jc w:val="center"/>
              <w:rPr>
                <w:rFonts w:eastAsia="黑体"/>
                <w:kern w:val="0"/>
                <w:sz w:val="18"/>
                <w:szCs w:val="20"/>
              </w:rPr>
            </w:pPr>
            <w:r>
              <w:rPr>
                <w:rFonts w:ascii="黑体" w:hAnsi="黑体" w:eastAsia="黑体"/>
                <w:kern w:val="0"/>
                <w:sz w:val="18"/>
                <w:szCs w:val="20"/>
              </w:rPr>
              <w:t>表</w:t>
            </w:r>
            <w:r>
              <w:rPr>
                <w:rFonts w:hint="eastAsia" w:ascii="黑体" w:hAnsi="黑体" w:eastAsia="黑体"/>
                <w:kern w:val="0"/>
                <w:sz w:val="18"/>
                <w:szCs w:val="20"/>
              </w:rPr>
              <w:t xml:space="preserve">3-3  </w:t>
            </w:r>
            <w:r>
              <w:rPr>
                <w:rFonts w:ascii="黑体" w:hAnsi="黑体" w:eastAsia="黑体"/>
                <w:kern w:val="0"/>
                <w:sz w:val="18"/>
                <w:szCs w:val="20"/>
              </w:rPr>
              <w:t>双龙河东岳、复兴交界断面水质评价结果表</w:t>
            </w:r>
          </w:p>
          <w:tbl>
            <w:tblPr>
              <w:tblStyle w:val="21"/>
              <w:tblW w:w="78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1"/>
              <w:gridCol w:w="2680"/>
              <w:gridCol w:w="1196"/>
              <w:gridCol w:w="1059"/>
              <w:gridCol w:w="1196"/>
              <w:gridCol w:w="560"/>
              <w:gridCol w:w="6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541" w:type="dxa"/>
                  <w:vMerge w:val="restart"/>
                  <w:tcBorders>
                    <w:top w:val="single" w:color="auto" w:sz="4" w:space="0"/>
                    <w:left w:val="single" w:color="auto" w:sz="2" w:space="0"/>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点位</w:t>
                  </w:r>
                </w:p>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编号</w:t>
                  </w:r>
                </w:p>
              </w:tc>
              <w:tc>
                <w:tcPr>
                  <w:tcW w:w="2680" w:type="dxa"/>
                  <w:vMerge w:val="restart"/>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检测点位</w:t>
                  </w:r>
                </w:p>
              </w:tc>
              <w:tc>
                <w:tcPr>
                  <w:tcW w:w="1196" w:type="dxa"/>
                  <w:vMerge w:val="restart"/>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样品状态</w:t>
                  </w:r>
                </w:p>
              </w:tc>
              <w:tc>
                <w:tcPr>
                  <w:tcW w:w="3421" w:type="dxa"/>
                  <w:gridSpan w:val="4"/>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评价</w:t>
                  </w:r>
                  <w:r>
                    <w:rPr>
                      <w:b/>
                      <w:bCs/>
                      <w:sz w:val="18"/>
                      <w:szCs w:val="18"/>
                    </w:rPr>
                    <w:t>结果</w:t>
                  </w:r>
                  <w:r>
                    <w:rPr>
                      <w:rFonts w:hint="eastAsia"/>
                      <w:b/>
                      <w:bCs/>
                      <w:sz w:val="18"/>
                      <w:szCs w:val="18"/>
                    </w:rPr>
                    <w:t>（单项指数法）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2" w:hRule="atLeast"/>
                <w:jc w:val="center"/>
              </w:trPr>
              <w:tc>
                <w:tcPr>
                  <w:tcW w:w="541" w:type="dxa"/>
                  <w:vMerge w:val="continue"/>
                  <w:tcBorders>
                    <w:top w:val="single" w:color="auto" w:sz="4" w:space="0"/>
                    <w:left w:val="single" w:color="auto" w:sz="2" w:space="0"/>
                    <w:bottom w:val="single" w:color="auto" w:sz="4" w:space="0"/>
                    <w:right w:val="single" w:color="auto" w:sz="4" w:space="0"/>
                  </w:tcBorders>
                  <w:vAlign w:val="center"/>
                </w:tcPr>
                <w:p>
                  <w:pPr>
                    <w:widowControl/>
                    <w:jc w:val="left"/>
                    <w:rPr>
                      <w:b/>
                      <w:bCs/>
                      <w:sz w:val="18"/>
                      <w:szCs w:val="18"/>
                    </w:rPr>
                  </w:pPr>
                </w:p>
              </w:tc>
              <w:tc>
                <w:tcPr>
                  <w:tcW w:w="2680"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c>
                <w:tcPr>
                  <w:tcW w:w="1196"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c>
                <w:tcPr>
                  <w:tcW w:w="1059"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b/>
                      <w:bCs/>
                      <w:sz w:val="18"/>
                      <w:szCs w:val="18"/>
                    </w:rPr>
                    <w:t>化学需氧量</w:t>
                  </w:r>
                </w:p>
              </w:tc>
              <w:tc>
                <w:tcPr>
                  <w:tcW w:w="119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b/>
                      <w:bCs/>
                      <w:sz w:val="18"/>
                      <w:szCs w:val="18"/>
                    </w:rPr>
                    <w:t>高锰酸盐指数</w:t>
                  </w:r>
                </w:p>
              </w:tc>
              <w:tc>
                <w:tcPr>
                  <w:tcW w:w="560"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氨氮</w:t>
                  </w:r>
                </w:p>
              </w:tc>
              <w:tc>
                <w:tcPr>
                  <w:tcW w:w="60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b/>
                      <w:bCs/>
                      <w:sz w:val="18"/>
                      <w:szCs w:val="18"/>
                    </w:rPr>
                  </w:pPr>
                  <w:r>
                    <w:rPr>
                      <w:rFonts w:hint="eastAsia"/>
                      <w:b/>
                      <w:bCs/>
                      <w:sz w:val="18"/>
                      <w:szCs w:val="18"/>
                    </w:rPr>
                    <w:t>总磷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541" w:type="dxa"/>
                  <w:tcBorders>
                    <w:top w:val="single" w:color="auto" w:sz="4" w:space="0"/>
                    <w:left w:val="single" w:color="auto" w:sz="4" w:space="0"/>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3#</w:t>
                  </w:r>
                </w:p>
              </w:tc>
              <w:tc>
                <w:tcPr>
                  <w:tcW w:w="2680"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sz w:val="18"/>
                      <w:szCs w:val="18"/>
                    </w:rPr>
                    <w:t>双龙河东岳、复兴交界断面</w:t>
                  </w:r>
                </w:p>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sz w:val="18"/>
                      <w:szCs w:val="18"/>
                    </w:rPr>
                    <w:t>（</w:t>
                  </w:r>
                  <w:r>
                    <w:rPr>
                      <w:rFonts w:hint="eastAsia" w:ascii="Times New Roman" w:hAnsi="Times New Roman"/>
                      <w:sz w:val="18"/>
                      <w:szCs w:val="18"/>
                    </w:rPr>
                    <w:t>E</w:t>
                  </w:r>
                  <w:r>
                    <w:rPr>
                      <w:rFonts w:ascii="Times New Roman" w:hAnsi="Times New Roman"/>
                      <w:sz w:val="18"/>
                      <w:szCs w:val="18"/>
                    </w:rPr>
                    <w:t>107</w:t>
                  </w:r>
                  <w:r>
                    <w:rPr>
                      <w:rFonts w:hint="eastAsia" w:ascii="Times New Roman" w:hAnsi="Times New Roman"/>
                      <w:sz w:val="18"/>
                      <w:szCs w:val="18"/>
                    </w:rPr>
                    <w:t>.438950</w:t>
                  </w:r>
                  <w:r>
                    <w:rPr>
                      <w:rFonts w:ascii="Times New Roman" w:hAnsi="Times New Roman"/>
                      <w:sz w:val="18"/>
                      <w:szCs w:val="18"/>
                    </w:rPr>
                    <w:t>°</w:t>
                  </w:r>
                  <w:r>
                    <w:rPr>
                      <w:sz w:val="18"/>
                      <w:szCs w:val="18"/>
                    </w:rPr>
                    <w:t>，</w:t>
                  </w:r>
                  <w:r>
                    <w:rPr>
                      <w:rFonts w:hint="eastAsia" w:ascii="Times New Roman" w:hAnsi="Times New Roman"/>
                      <w:sz w:val="18"/>
                      <w:szCs w:val="18"/>
                    </w:rPr>
                    <w:t>N</w:t>
                  </w:r>
                  <w:r>
                    <w:rPr>
                      <w:rFonts w:ascii="Times New Roman" w:hAnsi="Times New Roman"/>
                      <w:sz w:val="18"/>
                      <w:szCs w:val="18"/>
                    </w:rPr>
                    <w:t>3</w:t>
                  </w:r>
                  <w:r>
                    <w:rPr>
                      <w:rFonts w:hint="eastAsia" w:ascii="Times New Roman" w:hAnsi="Times New Roman"/>
                      <w:sz w:val="18"/>
                      <w:szCs w:val="18"/>
                    </w:rPr>
                    <w:t>1.265016</w:t>
                  </w:r>
                  <w:r>
                    <w:rPr>
                      <w:rFonts w:ascii="Times New Roman" w:hAnsi="Times New Roman"/>
                      <w:sz w:val="18"/>
                      <w:szCs w:val="18"/>
                    </w:rPr>
                    <w:t>°</w:t>
                  </w:r>
                  <w:r>
                    <w:rPr>
                      <w:sz w:val="18"/>
                      <w:szCs w:val="18"/>
                    </w:rPr>
                    <w:t>）</w:t>
                  </w:r>
                </w:p>
              </w:tc>
              <w:tc>
                <w:tcPr>
                  <w:tcW w:w="119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sz w:val="18"/>
                      <w:szCs w:val="18"/>
                    </w:rPr>
                    <w:t>无色、无味、</w:t>
                  </w:r>
                </w:p>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sz w:val="18"/>
                      <w:szCs w:val="18"/>
                    </w:rPr>
                    <w:t>透明、无油膜</w:t>
                  </w:r>
                </w:p>
              </w:tc>
              <w:tc>
                <w:tcPr>
                  <w:tcW w:w="1059"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0.35</w:t>
                  </w:r>
                </w:p>
              </w:tc>
              <w:tc>
                <w:tcPr>
                  <w:tcW w:w="119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0.42</w:t>
                  </w:r>
                </w:p>
              </w:tc>
              <w:tc>
                <w:tcPr>
                  <w:tcW w:w="560"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0.45</w:t>
                  </w:r>
                </w:p>
              </w:tc>
              <w:tc>
                <w:tcPr>
                  <w:tcW w:w="606" w:type="dxa"/>
                  <w:tcBorders>
                    <w:top w:val="single" w:color="auto" w:sz="4" w:space="0"/>
                    <w:left w:val="nil"/>
                    <w:bottom w:val="single" w:color="auto" w:sz="4" w:space="0"/>
                    <w:right w:val="single" w:color="auto" w:sz="4" w:space="0"/>
                  </w:tcBorders>
                  <w:vAlign w:val="center"/>
                </w:tcPr>
                <w:p>
                  <w:pPr>
                    <w:pStyle w:val="19"/>
                    <w:autoSpaceDE w:val="0"/>
                    <w:spacing w:before="0" w:beforeAutospacing="0" w:after="0" w:afterAutospacing="0" w:line="280" w:lineRule="exact"/>
                    <w:ind w:left="-71" w:leftChars="-34" w:right="-71" w:rightChars="-34"/>
                    <w:jc w:val="center"/>
                    <w:rPr>
                      <w:rFonts w:ascii="Times New Roman" w:hAnsi="Times New Roman"/>
                      <w:sz w:val="18"/>
                      <w:szCs w:val="18"/>
                    </w:rPr>
                  </w:pPr>
                  <w:r>
                    <w:rPr>
                      <w:rFonts w:hint="eastAsia" w:ascii="Times New Roman" w:hAnsi="Times New Roman"/>
                      <w:sz w:val="18"/>
                      <w:szCs w:val="18"/>
                    </w:rPr>
                    <w:t>0.30</w:t>
                  </w:r>
                </w:p>
              </w:tc>
            </w:tr>
          </w:tbl>
          <w:p>
            <w:pPr>
              <w:autoSpaceDE w:val="0"/>
              <w:autoSpaceDN w:val="0"/>
              <w:adjustRightInd w:val="0"/>
              <w:snapToGrid w:val="0"/>
              <w:spacing w:line="400" w:lineRule="exact"/>
              <w:ind w:firstLine="420" w:firstLineChars="200"/>
              <w:jc w:val="left"/>
            </w:pPr>
            <w:r>
              <w:t>根据上表监测数据表明：项目所</w:t>
            </w:r>
            <w:r>
              <w:rPr>
                <w:rFonts w:hint="eastAsia"/>
              </w:rPr>
              <w:t>在区域地表水体双龙河东岳、复兴交界断面</w:t>
            </w:r>
            <w:r>
              <w:t>水质单项污染指数计算结果</w:t>
            </w:r>
            <w:r>
              <w:rPr>
                <w:rFonts w:hint="eastAsia"/>
              </w:rPr>
              <w:t>均小于1，区域水质</w:t>
            </w:r>
            <w:r>
              <w:t>能够满足《地表水环境质量标准》（GB3838-2002）Ⅲ类水域水质标准。</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3、声环境质量现状监测及评价</w:t>
            </w:r>
          </w:p>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四川融华环境检测有限公司于</w:t>
            </w:r>
            <w:r>
              <w:rPr>
                <w:rFonts w:eastAsia="新宋体"/>
                <w:kern w:val="0"/>
                <w:szCs w:val="21"/>
              </w:rPr>
              <w:t>20</w:t>
            </w:r>
            <w:r>
              <w:rPr>
                <w:rFonts w:hint="eastAsia" w:eastAsia="新宋体"/>
                <w:kern w:val="0"/>
                <w:szCs w:val="21"/>
              </w:rPr>
              <w:t>23年5月29日，在项目区设有4个环境噪声监测点位，其中项目区东面场界外（</w:t>
            </w:r>
            <w:r>
              <w:rPr>
                <w:rFonts w:eastAsia="新宋体"/>
                <w:kern w:val="0"/>
                <w:szCs w:val="21"/>
              </w:rPr>
              <w:t>1#</w:t>
            </w:r>
            <w:r>
              <w:rPr>
                <w:rFonts w:hint="eastAsia" w:eastAsia="新宋体"/>
                <w:kern w:val="0"/>
                <w:szCs w:val="21"/>
              </w:rPr>
              <w:t>）、项目区南面场界外（</w:t>
            </w:r>
            <w:r>
              <w:rPr>
                <w:rFonts w:eastAsia="新宋体"/>
                <w:kern w:val="0"/>
                <w:szCs w:val="21"/>
              </w:rPr>
              <w:t>2#</w:t>
            </w:r>
            <w:r>
              <w:rPr>
                <w:rFonts w:hint="eastAsia" w:eastAsia="新宋体"/>
                <w:kern w:val="0"/>
                <w:szCs w:val="21"/>
              </w:rPr>
              <w:t>）、项目区南面住户外（</w:t>
            </w:r>
            <w:r>
              <w:rPr>
                <w:rFonts w:eastAsia="新宋体"/>
                <w:kern w:val="0"/>
                <w:szCs w:val="21"/>
              </w:rPr>
              <w:t>3#</w:t>
            </w:r>
            <w:r>
              <w:rPr>
                <w:rFonts w:hint="eastAsia" w:eastAsia="新宋体"/>
                <w:kern w:val="0"/>
                <w:szCs w:val="21"/>
              </w:rPr>
              <w:t>）、项目区西面场界外（</w:t>
            </w:r>
            <w:r>
              <w:rPr>
                <w:rFonts w:eastAsia="新宋体"/>
                <w:kern w:val="0"/>
                <w:szCs w:val="21"/>
              </w:rPr>
              <w:t>4#</w:t>
            </w:r>
            <w:r>
              <w:rPr>
                <w:rFonts w:hint="eastAsia" w:eastAsia="新宋体"/>
                <w:kern w:val="0"/>
                <w:szCs w:val="21"/>
              </w:rPr>
              <w:t>）。监测频次：监测1天，昼间监测</w:t>
            </w:r>
            <w:r>
              <w:rPr>
                <w:rFonts w:eastAsia="新宋体"/>
                <w:kern w:val="0"/>
                <w:szCs w:val="21"/>
              </w:rPr>
              <w:t>1</w:t>
            </w:r>
            <w:r>
              <w:rPr>
                <w:rFonts w:hint="eastAsia" w:eastAsia="新宋体"/>
                <w:kern w:val="0"/>
                <w:szCs w:val="21"/>
              </w:rPr>
              <w:t>次。</w:t>
            </w:r>
          </w:p>
          <w:p>
            <w:pPr>
              <w:autoSpaceDE w:val="0"/>
              <w:autoSpaceDN w:val="0"/>
              <w:adjustRightInd w:val="0"/>
              <w:snapToGrid w:val="0"/>
              <w:spacing w:line="400" w:lineRule="exact"/>
              <w:ind w:firstLine="420" w:firstLineChars="200"/>
              <w:jc w:val="left"/>
              <w:rPr>
                <w:rFonts w:eastAsia="新宋体"/>
                <w:kern w:val="0"/>
                <w:szCs w:val="21"/>
              </w:rPr>
            </w:pPr>
            <w:r>
              <w:rPr>
                <w:rFonts w:hint="eastAsia" w:eastAsia="新宋体"/>
                <w:kern w:val="0"/>
                <w:szCs w:val="21"/>
              </w:rPr>
              <w:t>评价标准：《声环境质量标准》（</w:t>
            </w:r>
            <w:r>
              <w:rPr>
                <w:rFonts w:eastAsia="新宋体"/>
                <w:kern w:val="0"/>
                <w:szCs w:val="21"/>
              </w:rPr>
              <w:t>GB3096-2008</w:t>
            </w:r>
            <w:r>
              <w:rPr>
                <w:rFonts w:hint="eastAsia" w:eastAsia="新宋体"/>
                <w:kern w:val="0"/>
                <w:szCs w:val="21"/>
              </w:rPr>
              <w:t>）中的2类。将监测结果与评价标准进行对照，得出评价结果如下表。</w:t>
            </w:r>
          </w:p>
          <w:p>
            <w:pPr>
              <w:spacing w:line="400" w:lineRule="exact"/>
              <w:jc w:val="center"/>
              <w:rPr>
                <w:rFonts w:eastAsia="黑体"/>
                <w:sz w:val="18"/>
              </w:rPr>
            </w:pPr>
            <w:r>
              <w:rPr>
                <w:rFonts w:hint="eastAsia" w:ascii="黑体" w:hAnsi="黑体" w:eastAsia="黑体"/>
                <w:sz w:val="18"/>
              </w:rPr>
              <w:t>表</w:t>
            </w:r>
            <w:r>
              <w:rPr>
                <w:rFonts w:hint="eastAsia" w:eastAsia="黑体"/>
                <w:sz w:val="18"/>
              </w:rPr>
              <w:t xml:space="preserve">3-4   </w:t>
            </w:r>
            <w:r>
              <w:rPr>
                <w:rFonts w:hint="eastAsia" w:ascii="黑体" w:hAnsi="黑体" w:eastAsia="黑体"/>
                <w:sz w:val="18"/>
              </w:rPr>
              <w:t>噪声环境现状评价结果   单位：</w:t>
            </w:r>
            <w:r>
              <w:rPr>
                <w:rFonts w:eastAsia="黑体"/>
                <w:sz w:val="18"/>
              </w:rPr>
              <w:t>dB(A)</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3"/>
              <w:gridCol w:w="1413"/>
              <w:gridCol w:w="1269"/>
              <w:gridCol w:w="112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6" w:hRule="atLeast"/>
                <w:jc w:val="center"/>
              </w:trPr>
              <w:tc>
                <w:tcPr>
                  <w:tcW w:w="2463" w:type="dxa"/>
                  <w:vMerge w:val="restart"/>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b/>
                      <w:bCs/>
                      <w:kern w:val="0"/>
                      <w:sz w:val="18"/>
                      <w:szCs w:val="18"/>
                    </w:rPr>
                  </w:pPr>
                  <w:bookmarkStart w:id="4" w:name="OLE_LINK2"/>
                  <w:r>
                    <w:rPr>
                      <w:rFonts w:ascii="宋体" w:hAnsi="宋体"/>
                      <w:b/>
                      <w:bCs/>
                      <w:kern w:val="0"/>
                      <w:sz w:val="18"/>
                      <w:szCs w:val="18"/>
                    </w:rPr>
                    <w:t>监测点位</w:t>
                  </w:r>
                  <w:bookmarkEnd w:id="4"/>
                </w:p>
              </w:tc>
              <w:tc>
                <w:tcPr>
                  <w:tcW w:w="1413" w:type="dxa"/>
                  <w:vMerge w:val="restart"/>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监测时间</w:t>
                  </w:r>
                </w:p>
              </w:tc>
              <w:tc>
                <w:tcPr>
                  <w:tcW w:w="1269"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监测结果</w:t>
                  </w:r>
                </w:p>
              </w:tc>
              <w:tc>
                <w:tcPr>
                  <w:tcW w:w="1127"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评价标准</w:t>
                  </w:r>
                </w:p>
              </w:tc>
              <w:tc>
                <w:tcPr>
                  <w:tcW w:w="1406"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kern w:val="0"/>
                      <w:sz w:val="18"/>
                      <w:szCs w:val="18"/>
                    </w:rPr>
                  </w:pPr>
                </w:p>
              </w:tc>
              <w:tc>
                <w:tcPr>
                  <w:tcW w:w="1413"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kern w:val="0"/>
                      <w:sz w:val="18"/>
                      <w:szCs w:val="18"/>
                    </w:rPr>
                  </w:pPr>
                </w:p>
              </w:tc>
              <w:tc>
                <w:tcPr>
                  <w:tcW w:w="1269"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c>
                <w:tcPr>
                  <w:tcW w:w="1127"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c>
                <w:tcPr>
                  <w:tcW w:w="1406" w:type="dxa"/>
                  <w:tcBorders>
                    <w:top w:val="single" w:color="auto" w:sz="4" w:space="0"/>
                    <w:left w:val="nil"/>
                    <w:bottom w:val="single" w:color="auto" w:sz="4" w:space="0"/>
                    <w:right w:val="single" w:color="auto" w:sz="4" w:space="0"/>
                  </w:tcBorders>
                  <w:vAlign w:val="center"/>
                </w:tcPr>
                <w:p>
                  <w:pPr>
                    <w:widowControl/>
                    <w:autoSpaceDE w:val="0"/>
                    <w:spacing w:line="320" w:lineRule="exact"/>
                    <w:jc w:val="center"/>
                    <w:rPr>
                      <w:b/>
                      <w:bCs/>
                      <w:kern w:val="0"/>
                      <w:sz w:val="18"/>
                      <w:szCs w:val="18"/>
                    </w:rPr>
                  </w:pPr>
                  <w:r>
                    <w:rPr>
                      <w:rFonts w:ascii="宋体" w:hAnsi="宋体"/>
                      <w:b/>
                      <w:bCs/>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bookmarkStart w:id="5" w:name="OLE_LINK1"/>
                  <w:r>
                    <w:rPr>
                      <w:kern w:val="0"/>
                      <w:sz w:val="18"/>
                      <w:szCs w:val="18"/>
                    </w:rPr>
                    <w:t>1#</w:t>
                  </w:r>
                  <w:bookmarkEnd w:id="5"/>
                  <w:r>
                    <w:rPr>
                      <w:rFonts w:ascii="宋体" w:hAnsi="宋体"/>
                      <w:kern w:val="0"/>
                      <w:sz w:val="18"/>
                      <w:szCs w:val="18"/>
                    </w:rPr>
                    <w:t>（东面场界）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5.29</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58.0</w:t>
                  </w:r>
                </w:p>
              </w:tc>
              <w:tc>
                <w:tcPr>
                  <w:tcW w:w="1127" w:type="dxa"/>
                  <w:tcBorders>
                    <w:top w:val="nil"/>
                    <w:left w:val="nil"/>
                    <w:right w:val="single" w:color="auto" w:sz="4" w:space="0"/>
                  </w:tcBorders>
                  <w:vAlign w:val="center"/>
                </w:tcPr>
                <w:p>
                  <w:pPr>
                    <w:autoSpaceDE w:val="0"/>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kern w:val="0"/>
                      <w:sz w:val="18"/>
                      <w:szCs w:val="18"/>
                    </w:rPr>
                    <w:t>2#</w:t>
                  </w:r>
                  <w:r>
                    <w:rPr>
                      <w:rFonts w:ascii="宋体" w:hAnsi="宋体"/>
                      <w:kern w:val="0"/>
                      <w:sz w:val="18"/>
                      <w:szCs w:val="18"/>
                    </w:rPr>
                    <w:t>（南面场界）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5.29</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56.6</w:t>
                  </w:r>
                </w:p>
              </w:tc>
              <w:tc>
                <w:tcPr>
                  <w:tcW w:w="1127" w:type="dxa"/>
                  <w:tcBorders>
                    <w:left w:val="nil"/>
                    <w:right w:val="single" w:color="auto" w:sz="4" w:space="0"/>
                  </w:tcBorders>
                  <w:vAlign w:val="center"/>
                </w:tcPr>
                <w:p>
                  <w:pPr>
                    <w:widowControl/>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rFonts w:hint="eastAsia" w:ascii="宋体" w:hAnsi="宋体"/>
                      <w:kern w:val="0"/>
                      <w:sz w:val="18"/>
                      <w:szCs w:val="18"/>
                    </w:rPr>
                    <w:t>3#</w:t>
                  </w:r>
                  <w:r>
                    <w:rPr>
                      <w:rFonts w:ascii="宋体" w:hAnsi="宋体"/>
                      <w:kern w:val="0"/>
                      <w:sz w:val="18"/>
                      <w:szCs w:val="18"/>
                    </w:rPr>
                    <w:t>（南面住户）</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5.29</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53.7</w:t>
                  </w:r>
                </w:p>
              </w:tc>
              <w:tc>
                <w:tcPr>
                  <w:tcW w:w="1127" w:type="dxa"/>
                  <w:tcBorders>
                    <w:left w:val="nil"/>
                    <w:right w:val="single" w:color="auto" w:sz="4" w:space="0"/>
                  </w:tcBorders>
                  <w:vAlign w:val="center"/>
                </w:tcPr>
                <w:p>
                  <w:pPr>
                    <w:widowControl/>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63" w:type="dxa"/>
                  <w:tcBorders>
                    <w:top w:val="single" w:color="auto" w:sz="4" w:space="0"/>
                    <w:left w:val="single" w:color="auto" w:sz="4" w:space="0"/>
                    <w:bottom w:val="single" w:color="auto" w:sz="4" w:space="0"/>
                    <w:right w:val="single" w:color="auto" w:sz="4" w:space="0"/>
                  </w:tcBorders>
                  <w:vAlign w:val="center"/>
                </w:tcPr>
                <w:p>
                  <w:pPr>
                    <w:widowControl/>
                    <w:autoSpaceDE w:val="0"/>
                    <w:spacing w:line="320" w:lineRule="exact"/>
                    <w:jc w:val="center"/>
                    <w:rPr>
                      <w:kern w:val="0"/>
                      <w:sz w:val="18"/>
                      <w:szCs w:val="18"/>
                    </w:rPr>
                  </w:pPr>
                  <w:r>
                    <w:rPr>
                      <w:rFonts w:hint="eastAsia" w:ascii="宋体" w:hAnsi="宋体"/>
                      <w:kern w:val="0"/>
                      <w:sz w:val="18"/>
                      <w:szCs w:val="18"/>
                    </w:rPr>
                    <w:t>4#</w:t>
                  </w:r>
                  <w:r>
                    <w:rPr>
                      <w:rFonts w:ascii="宋体" w:hAnsi="宋体"/>
                      <w:kern w:val="0"/>
                      <w:sz w:val="18"/>
                      <w:szCs w:val="18"/>
                    </w:rPr>
                    <w:t>（西面场界）</w:t>
                  </w:r>
                </w:p>
              </w:tc>
              <w:tc>
                <w:tcPr>
                  <w:tcW w:w="1413"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sz w:val="18"/>
                      <w:szCs w:val="18"/>
                    </w:rPr>
                    <w:t>2023.</w:t>
                  </w:r>
                  <w:r>
                    <w:rPr>
                      <w:rFonts w:hint="eastAsia"/>
                      <w:sz w:val="18"/>
                      <w:szCs w:val="18"/>
                    </w:rPr>
                    <w:t>5.29</w:t>
                  </w:r>
                </w:p>
              </w:tc>
              <w:tc>
                <w:tcPr>
                  <w:tcW w:w="1269" w:type="dxa"/>
                  <w:tcBorders>
                    <w:top w:val="single" w:color="auto" w:sz="4" w:space="0"/>
                    <w:left w:val="nil"/>
                    <w:bottom w:val="single" w:color="auto" w:sz="4" w:space="0"/>
                    <w:right w:val="single" w:color="auto" w:sz="4" w:space="0"/>
                  </w:tcBorders>
                  <w:vAlign w:val="center"/>
                </w:tcPr>
                <w:p>
                  <w:pPr>
                    <w:autoSpaceDE w:val="0"/>
                    <w:spacing w:line="320" w:lineRule="exact"/>
                    <w:jc w:val="center"/>
                    <w:rPr>
                      <w:kern w:val="0"/>
                      <w:sz w:val="18"/>
                      <w:szCs w:val="18"/>
                    </w:rPr>
                  </w:pPr>
                  <w:r>
                    <w:rPr>
                      <w:rFonts w:hint="eastAsia"/>
                      <w:kern w:val="0"/>
                      <w:sz w:val="18"/>
                      <w:szCs w:val="18"/>
                    </w:rPr>
                    <w:t>56.9</w:t>
                  </w:r>
                </w:p>
              </w:tc>
              <w:tc>
                <w:tcPr>
                  <w:tcW w:w="1127" w:type="dxa"/>
                  <w:tcBorders>
                    <w:left w:val="nil"/>
                    <w:bottom w:val="single" w:color="auto" w:sz="4" w:space="0"/>
                    <w:right w:val="single" w:color="auto" w:sz="4" w:space="0"/>
                  </w:tcBorders>
                  <w:vAlign w:val="center"/>
                </w:tcPr>
                <w:p>
                  <w:pPr>
                    <w:widowControl/>
                    <w:spacing w:line="320" w:lineRule="exact"/>
                    <w:jc w:val="center"/>
                    <w:rPr>
                      <w:kern w:val="0"/>
                      <w:sz w:val="18"/>
                      <w:szCs w:val="18"/>
                    </w:rPr>
                  </w:pPr>
                  <w:r>
                    <w:rPr>
                      <w:rFonts w:hint="eastAsia"/>
                      <w:kern w:val="0"/>
                      <w:sz w:val="18"/>
                      <w:szCs w:val="18"/>
                    </w:rPr>
                    <w:t>60</w:t>
                  </w:r>
                </w:p>
              </w:tc>
              <w:tc>
                <w:tcPr>
                  <w:tcW w:w="1406" w:type="dxa"/>
                  <w:tcBorders>
                    <w:top w:val="single" w:color="auto" w:sz="4" w:space="0"/>
                    <w:left w:val="nil"/>
                    <w:bottom w:val="single" w:color="auto" w:sz="4" w:space="0"/>
                    <w:right w:val="single" w:color="auto" w:sz="4" w:space="0"/>
                  </w:tcBorders>
                  <w:vAlign w:val="center"/>
                </w:tcPr>
                <w:p>
                  <w:pPr>
                    <w:autoSpaceDE w:val="0"/>
                    <w:spacing w:line="320" w:lineRule="exact"/>
                    <w:jc w:val="center"/>
                    <w:rPr>
                      <w:sz w:val="18"/>
                      <w:szCs w:val="18"/>
                    </w:rPr>
                  </w:pPr>
                  <w:r>
                    <w:rPr>
                      <w:rFonts w:ascii="宋体" w:hAnsi="宋体"/>
                      <w:sz w:val="18"/>
                      <w:szCs w:val="18"/>
                    </w:rPr>
                    <w:t>达标</w:t>
                  </w:r>
                </w:p>
              </w:tc>
            </w:tr>
          </w:tbl>
          <w:p>
            <w:pPr>
              <w:autoSpaceDE w:val="0"/>
              <w:autoSpaceDN w:val="0"/>
              <w:adjustRightInd w:val="0"/>
              <w:snapToGrid w:val="0"/>
              <w:spacing w:line="400" w:lineRule="exact"/>
              <w:ind w:firstLine="420" w:firstLineChars="200"/>
              <w:rPr>
                <w:rFonts w:eastAsia="新宋体"/>
                <w:kern w:val="0"/>
                <w:szCs w:val="21"/>
              </w:rPr>
            </w:pPr>
            <w:r>
              <w:rPr>
                <w:rFonts w:ascii="宋体" w:hAnsi="宋体"/>
                <w:kern w:val="0"/>
              </w:rPr>
              <w:t>由监测结果可知：</w:t>
            </w:r>
            <w:r>
              <w:rPr>
                <w:rFonts w:hint="eastAsia" w:eastAsia="新宋体"/>
                <w:kern w:val="0"/>
                <w:szCs w:val="21"/>
              </w:rPr>
              <w:t>本项目各噪声监测点位的昼间环境噪声值能够满足《声环境质量标准》（</w:t>
            </w:r>
            <w:r>
              <w:rPr>
                <w:rFonts w:eastAsia="新宋体"/>
                <w:kern w:val="0"/>
                <w:szCs w:val="21"/>
              </w:rPr>
              <w:t>GB3096-2008</w:t>
            </w:r>
            <w:r>
              <w:rPr>
                <w:rFonts w:hint="eastAsia" w:eastAsia="新宋体"/>
                <w:kern w:val="0"/>
                <w:szCs w:val="21"/>
              </w:rPr>
              <w:t>）中相应区域标准要求。</w:t>
            </w:r>
          </w:p>
          <w:p>
            <w:pPr>
              <w:adjustRightInd w:val="0"/>
              <w:snapToGrid w:val="0"/>
              <w:spacing w:line="400" w:lineRule="exact"/>
              <w:ind w:left="-53" w:leftChars="-25" w:right="-53" w:rightChars="-25"/>
              <w:jc w:val="left"/>
              <w:rPr>
                <w:rFonts w:eastAsia="黑体"/>
                <w:bCs/>
                <w:szCs w:val="21"/>
              </w:rPr>
            </w:pPr>
            <w:r>
              <w:rPr>
                <w:rFonts w:eastAsia="黑体"/>
                <w:bCs/>
                <w:szCs w:val="21"/>
              </w:rPr>
              <w:t>4、生态环境质量现状及评价</w:t>
            </w:r>
          </w:p>
          <w:p>
            <w:pPr>
              <w:autoSpaceDE w:val="0"/>
              <w:autoSpaceDN w:val="0"/>
              <w:adjustRightInd w:val="0"/>
              <w:snapToGrid w:val="0"/>
              <w:spacing w:line="400" w:lineRule="exact"/>
              <w:ind w:firstLine="420" w:firstLineChars="200"/>
              <w:jc w:val="left"/>
              <w:rPr>
                <w:szCs w:val="21"/>
                <w:lang w:val="zh-CN"/>
              </w:rPr>
            </w:pPr>
            <w:r>
              <w:rPr>
                <w:rFonts w:hint="eastAsia"/>
                <w:kern w:val="0"/>
                <w:szCs w:val="21"/>
              </w:rPr>
              <w:t>本项目位于达州市通川区东岳镇飞井村七组，周边主要是其它厂房及少量农地。区域长期以来受人类活动的影响，主要以人工绿化为主，无各类保护植被。根据现场调查，项目区域内不涉及自然保护区、森林公园及风景名胜区、生活饮用水水源保护区及其他需要特别保护区域，区域内无国家保护的重点野生动植物，无名木古树及珍稀动植物等，无特殊文物保护单位等环境敏感目标。总体来看，项目区域生态环境质量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792"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kern w:val="0"/>
                <w:szCs w:val="21"/>
              </w:rPr>
            </w:pPr>
            <w:r>
              <w:rPr>
                <w:kern w:val="0"/>
                <w:szCs w:val="21"/>
              </w:rPr>
              <w:t>环境</w:t>
            </w:r>
          </w:p>
          <w:p>
            <w:pPr>
              <w:adjustRightInd w:val="0"/>
              <w:snapToGrid w:val="0"/>
              <w:jc w:val="center"/>
              <w:rPr>
                <w:kern w:val="0"/>
                <w:szCs w:val="21"/>
              </w:rPr>
            </w:pPr>
            <w:r>
              <w:rPr>
                <w:kern w:val="0"/>
                <w:szCs w:val="21"/>
              </w:rPr>
              <w:t>保护</w:t>
            </w:r>
          </w:p>
          <w:p>
            <w:pPr>
              <w:adjustRightInd w:val="0"/>
              <w:snapToGrid w:val="0"/>
              <w:jc w:val="center"/>
            </w:pPr>
            <w:r>
              <w:rPr>
                <w:kern w:val="0"/>
                <w:szCs w:val="21"/>
              </w:rPr>
              <w:t>目标</w:t>
            </w:r>
          </w:p>
        </w:tc>
        <w:tc>
          <w:tcPr>
            <w:tcW w:w="812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Cs w:val="21"/>
              </w:rPr>
            </w:pPr>
            <w:r>
              <w:rPr>
                <w:rFonts w:eastAsia="黑体"/>
                <w:bCs/>
                <w:szCs w:val="21"/>
              </w:rPr>
              <w:t>1、大气环境</w:t>
            </w:r>
          </w:p>
          <w:p>
            <w:pPr>
              <w:autoSpaceDE w:val="0"/>
              <w:autoSpaceDN w:val="0"/>
              <w:adjustRightInd w:val="0"/>
              <w:snapToGrid w:val="0"/>
              <w:spacing w:line="400" w:lineRule="exact"/>
              <w:ind w:firstLine="420" w:firstLineChars="200"/>
              <w:jc w:val="left"/>
              <w:rPr>
                <w:kern w:val="0"/>
                <w:szCs w:val="21"/>
              </w:rPr>
            </w:pPr>
            <w:r>
              <w:rPr>
                <w:kern w:val="0"/>
                <w:szCs w:val="21"/>
              </w:rPr>
              <w:t>根据调查，项目厂界外500m范围内无自然保护区、风景名胜区、文化区域等环境空气保护目标。但有</w:t>
            </w:r>
            <w:r>
              <w:rPr>
                <w:rFonts w:hint="eastAsia"/>
                <w:kern w:val="0"/>
                <w:szCs w:val="21"/>
              </w:rPr>
              <w:t>少量散居农户。</w:t>
            </w: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spacing w:line="400" w:lineRule="exact"/>
              <w:jc w:val="center"/>
              <w:rPr>
                <w:rFonts w:eastAsia="黑体"/>
                <w:sz w:val="18"/>
                <w:szCs w:val="18"/>
              </w:rPr>
            </w:pPr>
            <w:r>
              <w:rPr>
                <w:rFonts w:hint="eastAsia" w:ascii="黑体" w:hAnsi="黑体" w:eastAsia="黑体"/>
                <w:sz w:val="18"/>
                <w:szCs w:val="18"/>
              </w:rPr>
              <w:t>表</w:t>
            </w:r>
            <w:r>
              <w:rPr>
                <w:rFonts w:hint="eastAsia" w:eastAsia="黑体"/>
                <w:sz w:val="18"/>
                <w:szCs w:val="18"/>
              </w:rPr>
              <w:t xml:space="preserve">3-5   </w:t>
            </w:r>
            <w:r>
              <w:rPr>
                <w:rFonts w:hint="eastAsia" w:ascii="黑体" w:hAnsi="黑体" w:eastAsia="黑体"/>
                <w:sz w:val="18"/>
                <w:szCs w:val="18"/>
              </w:rPr>
              <w:t>大气环境保护目标</w:t>
            </w:r>
          </w:p>
          <w:tbl>
            <w:tblPr>
              <w:tblStyle w:val="21"/>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955"/>
              <w:gridCol w:w="857"/>
              <w:gridCol w:w="1287"/>
              <w:gridCol w:w="709"/>
              <w:gridCol w:w="1134"/>
              <w:gridCol w:w="2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ind w:left="-40" w:leftChars="-19" w:right="-50" w:rightChars="-24"/>
                    <w:jc w:val="center"/>
                    <w:rPr>
                      <w:b/>
                      <w:sz w:val="18"/>
                      <w:szCs w:val="18"/>
                    </w:rPr>
                  </w:pPr>
                  <w:r>
                    <w:rPr>
                      <w:rFonts w:hint="eastAsia" w:ascii="宋体" w:hAnsi="宋体"/>
                      <w:b/>
                      <w:sz w:val="18"/>
                      <w:szCs w:val="18"/>
                    </w:rPr>
                    <w:t>序号</w:t>
                  </w:r>
                </w:p>
              </w:tc>
              <w:tc>
                <w:tcPr>
                  <w:tcW w:w="955"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环境要素</w:t>
                  </w:r>
                </w:p>
              </w:tc>
              <w:tc>
                <w:tcPr>
                  <w:tcW w:w="857" w:type="dxa"/>
                  <w:tcBorders>
                    <w:top w:val="single" w:color="auto" w:sz="4" w:space="0"/>
                    <w:left w:val="nil"/>
                    <w:bottom w:val="single" w:color="auto" w:sz="4" w:space="0"/>
                    <w:right w:val="single" w:color="auto" w:sz="4" w:space="0"/>
                  </w:tcBorders>
                  <w:vAlign w:val="center"/>
                </w:tcPr>
                <w:p>
                  <w:pPr>
                    <w:spacing w:line="360" w:lineRule="exact"/>
                    <w:ind w:left="-53" w:leftChars="-25" w:right="-53" w:rightChars="-25"/>
                    <w:jc w:val="center"/>
                    <w:rPr>
                      <w:b/>
                      <w:sz w:val="18"/>
                      <w:szCs w:val="18"/>
                    </w:rPr>
                  </w:pPr>
                  <w:r>
                    <w:rPr>
                      <w:rFonts w:hint="eastAsia" w:ascii="宋体" w:hAnsi="宋体"/>
                      <w:b/>
                      <w:sz w:val="18"/>
                      <w:szCs w:val="18"/>
                    </w:rPr>
                    <w:t>保护目标</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方位及距离</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类别</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规模</w:t>
                  </w:r>
                </w:p>
              </w:tc>
              <w:tc>
                <w:tcPr>
                  <w:tcW w:w="2359" w:type="dxa"/>
                  <w:tcBorders>
                    <w:top w:val="single" w:color="auto" w:sz="4" w:space="0"/>
                    <w:left w:val="nil"/>
                    <w:bottom w:val="single" w:color="auto" w:sz="4" w:space="0"/>
                    <w:right w:val="single" w:color="auto" w:sz="4" w:space="0"/>
                  </w:tcBorders>
                  <w:vAlign w:val="center"/>
                </w:tcPr>
                <w:p>
                  <w:pPr>
                    <w:spacing w:line="360" w:lineRule="exact"/>
                    <w:jc w:val="center"/>
                    <w:rPr>
                      <w:b/>
                      <w:sz w:val="18"/>
                      <w:szCs w:val="18"/>
                    </w:rPr>
                  </w:pPr>
                  <w:r>
                    <w:rPr>
                      <w:rFonts w:hint="eastAsia" w:ascii="宋体" w:hAnsi="宋体"/>
                      <w:b/>
                      <w:sz w:val="18"/>
                      <w:szCs w:val="18"/>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bCs/>
                      <w:sz w:val="18"/>
                      <w:szCs w:val="18"/>
                    </w:rPr>
                    <w:t>1</w:t>
                  </w:r>
                </w:p>
              </w:tc>
              <w:tc>
                <w:tcPr>
                  <w:tcW w:w="955" w:type="dxa"/>
                  <w:vMerge w:val="restart"/>
                  <w:tcBorders>
                    <w:top w:val="single" w:color="auto" w:sz="4" w:space="0"/>
                    <w:left w:val="nil"/>
                    <w:right w:val="single" w:color="auto" w:sz="4" w:space="0"/>
                  </w:tcBorders>
                  <w:vAlign w:val="center"/>
                </w:tcPr>
                <w:p>
                  <w:pPr>
                    <w:spacing w:line="360" w:lineRule="exact"/>
                    <w:ind w:left="-50" w:leftChars="-24" w:right="-36" w:rightChars="-17"/>
                    <w:jc w:val="center"/>
                    <w:rPr>
                      <w:bCs/>
                      <w:sz w:val="18"/>
                      <w:szCs w:val="18"/>
                    </w:rPr>
                  </w:pPr>
                  <w:r>
                    <w:rPr>
                      <w:rFonts w:hint="eastAsia" w:ascii="宋体" w:hAnsi="宋体"/>
                      <w:bCs/>
                      <w:sz w:val="18"/>
                      <w:szCs w:val="18"/>
                    </w:rPr>
                    <w:t>环境空气</w:t>
                  </w: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cs="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cs="宋体"/>
                      <w:bCs/>
                      <w:sz w:val="18"/>
                      <w:szCs w:val="18"/>
                    </w:rPr>
                  </w:pPr>
                  <w:r>
                    <w:rPr>
                      <w:rFonts w:hint="eastAsia" w:ascii="宋体" w:hAnsi="宋体"/>
                      <w:bCs/>
                      <w:sz w:val="18"/>
                      <w:szCs w:val="18"/>
                    </w:rPr>
                    <w:t>东面、110m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w:t>
                  </w:r>
                  <w:r>
                    <w:rPr>
                      <w:rFonts w:hint="eastAsia" w:ascii="宋体" w:hAnsi="宋体"/>
                      <w:bCs/>
                      <w:sz w:val="18"/>
                      <w:szCs w:val="18"/>
                    </w:rPr>
                    <w:t>户、</w:t>
                  </w:r>
                  <w:r>
                    <w:rPr>
                      <w:rFonts w:hint="eastAsia"/>
                      <w:bCs/>
                      <w:sz w:val="18"/>
                      <w:szCs w:val="18"/>
                    </w:rPr>
                    <w:t>4</w:t>
                  </w:r>
                  <w:r>
                    <w:rPr>
                      <w:rFonts w:hint="eastAsia" w:ascii="宋体" w:hAnsi="宋体"/>
                      <w:bCs/>
                      <w:sz w:val="18"/>
                      <w:szCs w:val="18"/>
                    </w:rPr>
                    <w:t>人</w:t>
                  </w:r>
                </w:p>
              </w:tc>
              <w:tc>
                <w:tcPr>
                  <w:tcW w:w="2359" w:type="dxa"/>
                  <w:vMerge w:val="restart"/>
                  <w:tcBorders>
                    <w:top w:val="single" w:color="auto" w:sz="4" w:space="0"/>
                    <w:left w:val="nil"/>
                    <w:right w:val="single" w:color="auto" w:sz="4" w:space="0"/>
                  </w:tcBorders>
                  <w:vAlign w:val="center"/>
                </w:tcPr>
                <w:p>
                  <w:pPr>
                    <w:spacing w:line="360" w:lineRule="exact"/>
                    <w:jc w:val="center"/>
                    <w:rPr>
                      <w:sz w:val="18"/>
                      <w:szCs w:val="18"/>
                    </w:rPr>
                  </w:pPr>
                  <w:r>
                    <w:rPr>
                      <w:rFonts w:hint="eastAsia" w:ascii="宋体" w:hAnsi="宋体"/>
                      <w:sz w:val="18"/>
                      <w:szCs w:val="18"/>
                    </w:rPr>
                    <w:t>《环境空气质量标准》（</w:t>
                  </w:r>
                  <w:r>
                    <w:rPr>
                      <w:sz w:val="18"/>
                      <w:szCs w:val="18"/>
                    </w:rPr>
                    <w:t>GB3095-2012</w:t>
                  </w:r>
                  <w:r>
                    <w:rPr>
                      <w:rFonts w:hint="eastAsia" w:ascii="宋体" w:hAnsi="宋体"/>
                      <w:sz w:val="18"/>
                      <w:szCs w:val="18"/>
                    </w:rPr>
                    <w:t>）</w:t>
                  </w:r>
                  <w:r>
                    <w:rPr>
                      <w:rFonts w:hint="eastAsia" w:ascii="宋体" w:hAnsi="宋体"/>
                      <w:bCs/>
                      <w:sz w:val="18"/>
                      <w:szCs w:val="18"/>
                    </w:rPr>
                    <w:t>二级</w:t>
                  </w:r>
                  <w:r>
                    <w:rPr>
                      <w:rFonts w:hint="eastAsia" w:ascii="宋体" w:hAnsi="宋体"/>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w:t>
                  </w:r>
                </w:p>
              </w:tc>
              <w:tc>
                <w:tcPr>
                  <w:tcW w:w="955" w:type="dxa"/>
                  <w:vMerge w:val="continue"/>
                  <w:tcBorders>
                    <w:left w:val="nil"/>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东南面、130m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2</w:t>
                  </w:r>
                  <w:r>
                    <w:rPr>
                      <w:rFonts w:hint="eastAsia" w:ascii="宋体" w:hAnsi="宋体"/>
                      <w:bCs/>
                      <w:sz w:val="18"/>
                      <w:szCs w:val="18"/>
                    </w:rPr>
                    <w:t>户、</w:t>
                  </w:r>
                  <w:r>
                    <w:rPr>
                      <w:rFonts w:hint="eastAsia"/>
                      <w:bCs/>
                      <w:sz w:val="18"/>
                      <w:szCs w:val="18"/>
                    </w:rPr>
                    <w:t>4</w:t>
                  </w:r>
                  <w:r>
                    <w:rPr>
                      <w:rFonts w:hint="eastAsia" w:ascii="宋体" w:hAnsi="宋体"/>
                      <w:bCs/>
                      <w:sz w:val="18"/>
                      <w:szCs w:val="18"/>
                    </w:rPr>
                    <w:t>人</w:t>
                  </w:r>
                </w:p>
              </w:tc>
              <w:tc>
                <w:tcPr>
                  <w:tcW w:w="2359" w:type="dxa"/>
                  <w:vMerge w:val="continue"/>
                  <w:tcBorders>
                    <w:left w:val="nil"/>
                    <w:right w:val="single" w:color="auto" w:sz="4" w:space="0"/>
                  </w:tcBorders>
                  <w:vAlign w:val="center"/>
                </w:tcPr>
                <w:p>
                  <w:pPr>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3</w:t>
                  </w:r>
                </w:p>
              </w:tc>
              <w:tc>
                <w:tcPr>
                  <w:tcW w:w="955" w:type="dxa"/>
                  <w:vMerge w:val="continue"/>
                  <w:tcBorders>
                    <w:left w:val="nil"/>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南面、100m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4户、10人</w:t>
                  </w:r>
                </w:p>
              </w:tc>
              <w:tc>
                <w:tcPr>
                  <w:tcW w:w="2359" w:type="dxa"/>
                  <w:vMerge w:val="continue"/>
                  <w:tcBorders>
                    <w:left w:val="nil"/>
                    <w:right w:val="single" w:color="auto" w:sz="4" w:space="0"/>
                  </w:tcBorders>
                  <w:vAlign w:val="center"/>
                </w:tcPr>
                <w:p>
                  <w:pPr>
                    <w:spacing w:line="36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53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4</w:t>
                  </w:r>
                </w:p>
              </w:tc>
              <w:tc>
                <w:tcPr>
                  <w:tcW w:w="955" w:type="dxa"/>
                  <w:vMerge w:val="continue"/>
                  <w:tcBorders>
                    <w:left w:val="nil"/>
                    <w:bottom w:val="single" w:color="auto" w:sz="4" w:space="0"/>
                    <w:right w:val="single" w:color="auto" w:sz="4" w:space="0"/>
                  </w:tcBorders>
                  <w:vAlign w:val="center"/>
                </w:tcPr>
                <w:p>
                  <w:pPr>
                    <w:spacing w:line="360" w:lineRule="exact"/>
                    <w:ind w:left="-50" w:leftChars="-24" w:right="-36" w:rightChars="-17"/>
                    <w:jc w:val="center"/>
                    <w:rPr>
                      <w:rFonts w:ascii="宋体" w:hAnsi="宋体"/>
                      <w:bCs/>
                      <w:sz w:val="18"/>
                      <w:szCs w:val="18"/>
                    </w:rPr>
                  </w:pPr>
                </w:p>
              </w:tc>
              <w:tc>
                <w:tcPr>
                  <w:tcW w:w="85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住户</w:t>
                  </w:r>
                </w:p>
              </w:tc>
              <w:tc>
                <w:tcPr>
                  <w:tcW w:w="1287"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东北面、65m</w:t>
                  </w:r>
                </w:p>
              </w:tc>
              <w:tc>
                <w:tcPr>
                  <w:tcW w:w="709"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bCs/>
                      <w:sz w:val="18"/>
                      <w:szCs w:val="18"/>
                    </w:rPr>
                  </w:pPr>
                  <w:r>
                    <w:rPr>
                      <w:rFonts w:hint="eastAsia" w:ascii="宋体" w:hAnsi="宋体"/>
                      <w:bCs/>
                      <w:sz w:val="18"/>
                      <w:szCs w:val="18"/>
                    </w:rPr>
                    <w:t>居民</w:t>
                  </w:r>
                </w:p>
              </w:tc>
              <w:tc>
                <w:tcPr>
                  <w:tcW w:w="1134" w:type="dxa"/>
                  <w:tcBorders>
                    <w:top w:val="single" w:color="auto" w:sz="4" w:space="0"/>
                    <w:left w:val="nil"/>
                    <w:bottom w:val="single" w:color="auto" w:sz="4" w:space="0"/>
                    <w:right w:val="single" w:color="auto" w:sz="4" w:space="0"/>
                  </w:tcBorders>
                  <w:vAlign w:val="center"/>
                </w:tcPr>
                <w:p>
                  <w:pPr>
                    <w:spacing w:line="360" w:lineRule="exact"/>
                    <w:jc w:val="center"/>
                    <w:rPr>
                      <w:bCs/>
                      <w:sz w:val="18"/>
                      <w:szCs w:val="18"/>
                    </w:rPr>
                  </w:pPr>
                  <w:r>
                    <w:rPr>
                      <w:rFonts w:hint="eastAsia"/>
                      <w:bCs/>
                      <w:sz w:val="18"/>
                      <w:szCs w:val="18"/>
                    </w:rPr>
                    <w:t>1户、2人</w:t>
                  </w:r>
                </w:p>
              </w:tc>
              <w:tc>
                <w:tcPr>
                  <w:tcW w:w="2359" w:type="dxa"/>
                  <w:vMerge w:val="continue"/>
                  <w:tcBorders>
                    <w:left w:val="nil"/>
                    <w:bottom w:val="single" w:color="auto" w:sz="4" w:space="0"/>
                    <w:right w:val="single" w:color="auto" w:sz="4" w:space="0"/>
                  </w:tcBorders>
                  <w:vAlign w:val="center"/>
                </w:tcPr>
                <w:p>
                  <w:pPr>
                    <w:spacing w:line="360" w:lineRule="exact"/>
                    <w:jc w:val="center"/>
                    <w:rPr>
                      <w:rFonts w:ascii="宋体" w:hAnsi="宋体"/>
                      <w:sz w:val="18"/>
                      <w:szCs w:val="18"/>
                    </w:rPr>
                  </w:pPr>
                </w:p>
              </w:tc>
            </w:tr>
          </w:tbl>
          <w:p>
            <w:pPr>
              <w:autoSpaceDE w:val="0"/>
              <w:autoSpaceDN w:val="0"/>
              <w:adjustRightInd w:val="0"/>
              <w:snapToGrid w:val="0"/>
              <w:spacing w:line="400" w:lineRule="exact"/>
              <w:jc w:val="left"/>
              <w:rPr>
                <w:rFonts w:eastAsia="黑体"/>
                <w:bCs/>
                <w:szCs w:val="21"/>
              </w:rPr>
            </w:pPr>
            <w:r>
              <w:rPr>
                <w:rFonts w:eastAsia="黑体"/>
                <w:bCs/>
                <w:szCs w:val="21"/>
              </w:rPr>
              <w:t>2、声环境</w:t>
            </w:r>
          </w:p>
          <w:p>
            <w:pPr>
              <w:autoSpaceDE w:val="0"/>
              <w:autoSpaceDN w:val="0"/>
              <w:adjustRightInd w:val="0"/>
              <w:snapToGrid w:val="0"/>
              <w:spacing w:line="400" w:lineRule="exact"/>
              <w:ind w:firstLine="420" w:firstLineChars="200"/>
              <w:jc w:val="left"/>
              <w:rPr>
                <w:kern w:val="0"/>
                <w:szCs w:val="21"/>
              </w:rPr>
            </w:pPr>
            <w:r>
              <w:rPr>
                <w:kern w:val="0"/>
                <w:szCs w:val="21"/>
              </w:rPr>
              <w:t>根据调查，项目厂界外</w:t>
            </w:r>
            <w:r>
              <w:rPr>
                <w:rFonts w:hint="eastAsia"/>
                <w:kern w:val="0"/>
                <w:szCs w:val="21"/>
              </w:rPr>
              <w:t>50</w:t>
            </w:r>
            <w:r>
              <w:rPr>
                <w:kern w:val="0"/>
                <w:szCs w:val="21"/>
              </w:rPr>
              <w:t>米范围内无</w:t>
            </w:r>
            <w:r>
              <w:rPr>
                <w:rFonts w:hint="eastAsia"/>
                <w:kern w:val="0"/>
                <w:szCs w:val="21"/>
              </w:rPr>
              <w:t>住户等声环境保护目标。</w:t>
            </w:r>
          </w:p>
          <w:p>
            <w:pPr>
              <w:adjustRightInd w:val="0"/>
              <w:snapToGrid w:val="0"/>
              <w:spacing w:line="360" w:lineRule="exact"/>
              <w:ind w:left="-53" w:leftChars="-25" w:right="-53" w:rightChars="-25"/>
              <w:jc w:val="left"/>
              <w:rPr>
                <w:rFonts w:eastAsia="黑体"/>
                <w:bCs/>
                <w:szCs w:val="21"/>
              </w:rPr>
            </w:pPr>
            <w:r>
              <w:rPr>
                <w:rFonts w:eastAsia="黑体"/>
                <w:bCs/>
                <w:szCs w:val="21"/>
              </w:rPr>
              <w:t>3、地表水环境</w:t>
            </w:r>
          </w:p>
          <w:p>
            <w:pPr>
              <w:autoSpaceDE w:val="0"/>
              <w:autoSpaceDN w:val="0"/>
              <w:adjustRightInd w:val="0"/>
              <w:snapToGrid w:val="0"/>
              <w:spacing w:line="400" w:lineRule="exact"/>
              <w:ind w:firstLine="420" w:firstLineChars="200"/>
            </w:pPr>
            <w:r>
              <w:rPr>
                <w:rFonts w:ascii="宋体" w:hAnsi="宋体"/>
              </w:rPr>
              <w:t>本项目附近水体为双龙河，项目区河段无饮用水水源保护区、饮用水取水口，涉水的自然保护区、风景名胜区，重要湿地、重点保护与珍稀水生生物的栖息地、重要水生生物的自然产卵场及索饵场、越冬场和洄游通道，天然渔场等渔业水体，以及水产种质资源保护区等环境保护目标，地表水主要保护双龙河水质不因本项目实施发生恶化。</w:t>
            </w:r>
          </w:p>
          <w:p>
            <w:pPr>
              <w:adjustRightInd w:val="0"/>
              <w:snapToGrid w:val="0"/>
              <w:spacing w:line="400" w:lineRule="exact"/>
              <w:ind w:left="-53" w:leftChars="-25" w:right="-53" w:rightChars="-25" w:firstLine="420" w:firstLineChars="200"/>
              <w:jc w:val="left"/>
              <w:rPr>
                <w:kern w:val="0"/>
              </w:rPr>
            </w:pPr>
            <w:r>
              <w:rPr>
                <w:rFonts w:ascii="宋体" w:hAnsi="宋体"/>
              </w:rPr>
              <w:t>根据本项目附近水环境类别，确定其保护目标和级别见下表。</w:t>
            </w:r>
            <w:r>
              <w:rPr>
                <w:kern w:val="0"/>
              </w:rPr>
              <w:t xml:space="preserve"> </w:t>
            </w:r>
          </w:p>
          <w:p>
            <w:pPr>
              <w:autoSpaceDE w:val="0"/>
              <w:autoSpaceDN w:val="0"/>
              <w:adjustRightInd w:val="0"/>
              <w:snapToGrid w:val="0"/>
              <w:spacing w:line="360" w:lineRule="exact"/>
              <w:jc w:val="center"/>
              <w:rPr>
                <w:rFonts w:eastAsia="黑体"/>
                <w:sz w:val="18"/>
                <w:szCs w:val="20"/>
              </w:rPr>
            </w:pPr>
            <w:r>
              <w:rPr>
                <w:rFonts w:ascii="黑体" w:hAnsi="黑体" w:eastAsia="黑体"/>
                <w:sz w:val="18"/>
                <w:szCs w:val="20"/>
              </w:rPr>
              <w:t>表</w:t>
            </w:r>
            <w:r>
              <w:rPr>
                <w:rFonts w:hint="eastAsia" w:ascii="黑体" w:hAnsi="黑体" w:eastAsia="黑体"/>
                <w:sz w:val="18"/>
                <w:szCs w:val="20"/>
              </w:rPr>
              <w:t xml:space="preserve">3-5  </w:t>
            </w:r>
            <w:r>
              <w:rPr>
                <w:rFonts w:ascii="黑体" w:hAnsi="黑体" w:eastAsia="黑体"/>
                <w:sz w:val="18"/>
                <w:szCs w:val="20"/>
              </w:rPr>
              <w:t>本项目地表水环境保护目标</w:t>
            </w:r>
          </w:p>
          <w:tbl>
            <w:tblPr>
              <w:tblStyle w:val="21"/>
              <w:tblW w:w="7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4" w:type="dxa"/>
                <w:bottom w:w="0" w:type="dxa"/>
                <w:right w:w="14" w:type="dxa"/>
              </w:tblCellMar>
            </w:tblPr>
            <w:tblGrid>
              <w:gridCol w:w="702"/>
              <w:gridCol w:w="1373"/>
              <w:gridCol w:w="1095"/>
              <w:gridCol w:w="1994"/>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cantSplit/>
                <w:trHeight w:val="200" w:hRule="atLeast"/>
                <w:jc w:val="center"/>
              </w:trPr>
              <w:tc>
                <w:tcPr>
                  <w:tcW w:w="702" w:type="dxa"/>
                  <w:vAlign w:val="center"/>
                </w:tcPr>
                <w:p>
                  <w:pPr>
                    <w:pStyle w:val="66"/>
                    <w:snapToGrid w:val="0"/>
                    <w:spacing w:beforeLines="0" w:afterLines="0" w:line="300" w:lineRule="exact"/>
                    <w:rPr>
                      <w:b/>
                      <w:bCs/>
                      <w:sz w:val="18"/>
                      <w:szCs w:val="18"/>
                    </w:rPr>
                  </w:pPr>
                  <w:r>
                    <w:rPr>
                      <w:rFonts w:ascii="宋体" w:hAnsi="宋体"/>
                      <w:b/>
                      <w:bCs/>
                      <w:sz w:val="18"/>
                      <w:szCs w:val="18"/>
                    </w:rPr>
                    <w:t>序号</w:t>
                  </w:r>
                </w:p>
              </w:tc>
              <w:tc>
                <w:tcPr>
                  <w:tcW w:w="1373" w:type="dxa"/>
                  <w:vAlign w:val="center"/>
                </w:tcPr>
                <w:p>
                  <w:pPr>
                    <w:pStyle w:val="66"/>
                    <w:snapToGrid w:val="0"/>
                    <w:spacing w:beforeLines="0" w:afterLines="0" w:line="300" w:lineRule="exact"/>
                    <w:rPr>
                      <w:b/>
                      <w:bCs/>
                      <w:sz w:val="18"/>
                      <w:szCs w:val="18"/>
                    </w:rPr>
                  </w:pPr>
                  <w:r>
                    <w:rPr>
                      <w:rFonts w:ascii="宋体" w:hAnsi="宋体"/>
                      <w:b/>
                      <w:bCs/>
                      <w:sz w:val="18"/>
                      <w:szCs w:val="18"/>
                    </w:rPr>
                    <w:t>目标名称</w:t>
                  </w:r>
                </w:p>
              </w:tc>
              <w:tc>
                <w:tcPr>
                  <w:tcW w:w="1095" w:type="dxa"/>
                  <w:vAlign w:val="center"/>
                </w:tcPr>
                <w:p>
                  <w:pPr>
                    <w:pStyle w:val="66"/>
                    <w:snapToGrid w:val="0"/>
                    <w:spacing w:beforeLines="0" w:afterLines="0" w:line="300" w:lineRule="exact"/>
                    <w:rPr>
                      <w:b/>
                      <w:bCs/>
                      <w:sz w:val="18"/>
                      <w:szCs w:val="18"/>
                    </w:rPr>
                  </w:pPr>
                  <w:r>
                    <w:rPr>
                      <w:rFonts w:ascii="宋体" w:hAnsi="宋体"/>
                      <w:b/>
                      <w:bCs/>
                      <w:sz w:val="18"/>
                      <w:szCs w:val="18"/>
                    </w:rPr>
                    <w:t>规</w:t>
                  </w:r>
                  <w:r>
                    <w:rPr>
                      <w:b/>
                      <w:bCs/>
                      <w:sz w:val="18"/>
                      <w:szCs w:val="18"/>
                    </w:rPr>
                    <w:t xml:space="preserve">  </w:t>
                  </w:r>
                  <w:r>
                    <w:rPr>
                      <w:rFonts w:ascii="宋体" w:hAnsi="宋体"/>
                      <w:b/>
                      <w:bCs/>
                      <w:sz w:val="18"/>
                      <w:szCs w:val="18"/>
                    </w:rPr>
                    <w:t>模</w:t>
                  </w:r>
                </w:p>
              </w:tc>
              <w:tc>
                <w:tcPr>
                  <w:tcW w:w="1994" w:type="dxa"/>
                  <w:vAlign w:val="center"/>
                </w:tcPr>
                <w:p>
                  <w:pPr>
                    <w:autoSpaceDE w:val="0"/>
                    <w:spacing w:line="300" w:lineRule="exact"/>
                    <w:ind w:left="-53" w:leftChars="-25" w:right="-53" w:rightChars="-25"/>
                    <w:jc w:val="center"/>
                    <w:rPr>
                      <w:b/>
                      <w:bCs/>
                      <w:sz w:val="18"/>
                      <w:szCs w:val="18"/>
                    </w:rPr>
                  </w:pPr>
                  <w:r>
                    <w:rPr>
                      <w:rFonts w:ascii="宋体" w:hAnsi="宋体"/>
                      <w:b/>
                      <w:bCs/>
                      <w:sz w:val="18"/>
                      <w:szCs w:val="18"/>
                    </w:rPr>
                    <w:t>相对厂区方位、距离</w:t>
                  </w:r>
                </w:p>
              </w:tc>
              <w:tc>
                <w:tcPr>
                  <w:tcW w:w="2589" w:type="dxa"/>
                  <w:vAlign w:val="center"/>
                </w:tcPr>
                <w:p>
                  <w:pPr>
                    <w:pStyle w:val="66"/>
                    <w:snapToGrid w:val="0"/>
                    <w:spacing w:beforeLines="0" w:afterLines="0" w:line="300" w:lineRule="exact"/>
                    <w:rPr>
                      <w:b/>
                      <w:bCs/>
                      <w:sz w:val="18"/>
                      <w:szCs w:val="18"/>
                    </w:rPr>
                  </w:pPr>
                  <w:r>
                    <w:rPr>
                      <w:rFonts w:ascii="宋体" w:hAnsi="宋体"/>
                      <w:b/>
                      <w:bCs/>
                      <w:sz w:val="18"/>
                      <w:szCs w:val="18"/>
                    </w:rPr>
                    <w:t>环境功能及保护级别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4" w:type="dxa"/>
                  <w:bottom w:w="0" w:type="dxa"/>
                  <w:right w:w="14" w:type="dxa"/>
                </w:tblCellMar>
              </w:tblPrEx>
              <w:trPr>
                <w:cantSplit/>
                <w:trHeight w:val="172" w:hRule="atLeast"/>
                <w:jc w:val="center"/>
              </w:trPr>
              <w:tc>
                <w:tcPr>
                  <w:tcW w:w="702" w:type="dxa"/>
                  <w:vAlign w:val="center"/>
                </w:tcPr>
                <w:p>
                  <w:pPr>
                    <w:adjustRightInd w:val="0"/>
                    <w:snapToGrid w:val="0"/>
                    <w:spacing w:line="300" w:lineRule="exact"/>
                    <w:jc w:val="center"/>
                    <w:rPr>
                      <w:sz w:val="18"/>
                      <w:szCs w:val="18"/>
                    </w:rPr>
                  </w:pPr>
                  <w:r>
                    <w:rPr>
                      <w:sz w:val="18"/>
                      <w:szCs w:val="18"/>
                    </w:rPr>
                    <w:t>1</w:t>
                  </w:r>
                </w:p>
              </w:tc>
              <w:tc>
                <w:tcPr>
                  <w:tcW w:w="1373" w:type="dxa"/>
                  <w:vAlign w:val="center"/>
                </w:tcPr>
                <w:p>
                  <w:pPr>
                    <w:adjustRightInd w:val="0"/>
                    <w:snapToGrid w:val="0"/>
                    <w:spacing w:line="300" w:lineRule="exact"/>
                    <w:jc w:val="center"/>
                    <w:rPr>
                      <w:sz w:val="18"/>
                      <w:szCs w:val="18"/>
                    </w:rPr>
                  </w:pPr>
                  <w:r>
                    <w:rPr>
                      <w:rFonts w:ascii="宋体" w:hAnsi="宋体"/>
                      <w:sz w:val="18"/>
                      <w:szCs w:val="18"/>
                    </w:rPr>
                    <w:t>双龙河</w:t>
                  </w:r>
                </w:p>
              </w:tc>
              <w:tc>
                <w:tcPr>
                  <w:tcW w:w="1095" w:type="dxa"/>
                  <w:vAlign w:val="center"/>
                </w:tcPr>
                <w:p>
                  <w:pPr>
                    <w:adjustRightInd w:val="0"/>
                    <w:snapToGrid w:val="0"/>
                    <w:spacing w:line="300" w:lineRule="exact"/>
                    <w:jc w:val="center"/>
                    <w:rPr>
                      <w:sz w:val="18"/>
                      <w:szCs w:val="18"/>
                    </w:rPr>
                  </w:pPr>
                  <w:r>
                    <w:rPr>
                      <w:rFonts w:ascii="宋体" w:hAnsi="宋体"/>
                      <w:sz w:val="18"/>
                      <w:szCs w:val="18"/>
                    </w:rPr>
                    <w:t>小河</w:t>
                  </w:r>
                </w:p>
              </w:tc>
              <w:tc>
                <w:tcPr>
                  <w:tcW w:w="1994" w:type="dxa"/>
                  <w:vAlign w:val="center"/>
                </w:tcPr>
                <w:p>
                  <w:pPr>
                    <w:autoSpaceDE w:val="0"/>
                    <w:spacing w:line="300" w:lineRule="exact"/>
                    <w:ind w:left="-92" w:leftChars="-44" w:right="-92" w:rightChars="-44"/>
                    <w:jc w:val="center"/>
                    <w:rPr>
                      <w:sz w:val="18"/>
                      <w:szCs w:val="18"/>
                    </w:rPr>
                  </w:pPr>
                  <w:r>
                    <w:rPr>
                      <w:rFonts w:ascii="宋体" w:hAnsi="宋体"/>
                      <w:sz w:val="18"/>
                      <w:szCs w:val="18"/>
                    </w:rPr>
                    <w:t>南，</w:t>
                  </w:r>
                  <w:r>
                    <w:rPr>
                      <w:rFonts w:hint="eastAsia"/>
                      <w:sz w:val="18"/>
                      <w:szCs w:val="18"/>
                    </w:rPr>
                    <w:t>1630</w:t>
                  </w:r>
                  <w:r>
                    <w:rPr>
                      <w:sz w:val="18"/>
                      <w:szCs w:val="18"/>
                    </w:rPr>
                    <w:t>m</w:t>
                  </w:r>
                </w:p>
              </w:tc>
              <w:tc>
                <w:tcPr>
                  <w:tcW w:w="2589" w:type="dxa"/>
                  <w:vAlign w:val="center"/>
                </w:tcPr>
                <w:p>
                  <w:pPr>
                    <w:pStyle w:val="66"/>
                    <w:snapToGrid w:val="0"/>
                    <w:spacing w:beforeLines="0" w:afterLines="0" w:line="300" w:lineRule="exact"/>
                    <w:rPr>
                      <w:sz w:val="18"/>
                      <w:szCs w:val="18"/>
                    </w:rPr>
                  </w:pPr>
                  <w:r>
                    <w:rPr>
                      <w:sz w:val="18"/>
                      <w:szCs w:val="18"/>
                    </w:rPr>
                    <w:t>GB3838-2002III</w:t>
                  </w:r>
                  <w:r>
                    <w:rPr>
                      <w:rFonts w:ascii="宋体" w:hAnsi="宋体"/>
                      <w:sz w:val="18"/>
                      <w:szCs w:val="18"/>
                    </w:rPr>
                    <w:t>类水质标准</w:t>
                  </w:r>
                </w:p>
              </w:tc>
            </w:tr>
          </w:tbl>
          <w:p>
            <w:pPr>
              <w:adjustRightInd w:val="0"/>
              <w:snapToGrid w:val="0"/>
              <w:spacing w:line="360" w:lineRule="exact"/>
              <w:ind w:left="-53" w:leftChars="-25" w:right="-53" w:rightChars="-25"/>
              <w:jc w:val="left"/>
              <w:rPr>
                <w:rFonts w:eastAsia="黑体"/>
                <w:bCs/>
                <w:szCs w:val="21"/>
              </w:rPr>
            </w:pPr>
            <w:r>
              <w:rPr>
                <w:rFonts w:eastAsia="黑体"/>
                <w:bCs/>
                <w:szCs w:val="21"/>
              </w:rPr>
              <w:t>4、地下水环境</w:t>
            </w:r>
          </w:p>
          <w:p>
            <w:pPr>
              <w:autoSpaceDE w:val="0"/>
              <w:autoSpaceDN w:val="0"/>
              <w:adjustRightInd w:val="0"/>
              <w:snapToGrid w:val="0"/>
              <w:spacing w:line="360" w:lineRule="exact"/>
              <w:ind w:firstLine="420" w:firstLineChars="200"/>
              <w:jc w:val="left"/>
              <w:rPr>
                <w:kern w:val="0"/>
                <w:szCs w:val="21"/>
              </w:rPr>
            </w:pPr>
            <w:r>
              <w:rPr>
                <w:kern w:val="0"/>
                <w:szCs w:val="21"/>
              </w:rPr>
              <w:t>根据调查，项目厂界外500米范围内的无地下水集中式饮用水水源和热水、矿泉水、温泉等特殊地下水资源。</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5</w:t>
            </w:r>
            <w:r>
              <w:rPr>
                <w:rFonts w:eastAsia="黑体"/>
                <w:bCs/>
                <w:szCs w:val="21"/>
              </w:rPr>
              <w:t>、土壤环境</w:t>
            </w:r>
          </w:p>
          <w:p>
            <w:pPr>
              <w:autoSpaceDE w:val="0"/>
              <w:autoSpaceDN w:val="0"/>
              <w:adjustRightInd w:val="0"/>
              <w:snapToGrid w:val="0"/>
              <w:spacing w:line="400" w:lineRule="exact"/>
              <w:ind w:firstLine="420" w:firstLineChars="200"/>
              <w:jc w:val="left"/>
              <w:rPr>
                <w:kern w:val="0"/>
                <w:szCs w:val="21"/>
              </w:rPr>
            </w:pPr>
            <w:r>
              <w:rPr>
                <w:kern w:val="0"/>
                <w:szCs w:val="21"/>
              </w:rPr>
              <w:t>项目位于东岳镇飞进村七组，周边</w:t>
            </w:r>
            <w:r>
              <w:rPr>
                <w:rFonts w:hint="eastAsia"/>
                <w:kern w:val="0"/>
                <w:szCs w:val="21"/>
              </w:rPr>
              <w:t>50m范围内存在少量耕地等土壤环境敏感目标。</w:t>
            </w:r>
          </w:p>
          <w:p>
            <w:pPr>
              <w:adjustRightInd w:val="0"/>
              <w:snapToGrid w:val="0"/>
              <w:spacing w:line="400" w:lineRule="exact"/>
              <w:ind w:left="-53" w:leftChars="-25" w:right="-53" w:rightChars="-25"/>
              <w:jc w:val="left"/>
              <w:rPr>
                <w:rFonts w:eastAsia="黑体"/>
                <w:bCs/>
                <w:szCs w:val="21"/>
              </w:rPr>
            </w:pPr>
            <w:r>
              <w:rPr>
                <w:rFonts w:hint="eastAsia" w:eastAsia="黑体"/>
                <w:bCs/>
                <w:szCs w:val="21"/>
              </w:rPr>
              <w:t>6</w:t>
            </w:r>
            <w:r>
              <w:rPr>
                <w:rFonts w:eastAsia="黑体"/>
                <w:bCs/>
                <w:szCs w:val="21"/>
              </w:rPr>
              <w:t>、生态环境</w:t>
            </w:r>
          </w:p>
          <w:p>
            <w:pPr>
              <w:autoSpaceDE w:val="0"/>
              <w:autoSpaceDN w:val="0"/>
              <w:adjustRightInd w:val="0"/>
              <w:snapToGrid w:val="0"/>
              <w:spacing w:line="400" w:lineRule="exact"/>
              <w:ind w:firstLine="420" w:firstLineChars="200"/>
              <w:jc w:val="left"/>
              <w:rPr>
                <w:szCs w:val="21"/>
              </w:rPr>
            </w:pPr>
            <w:r>
              <w:rPr>
                <w:kern w:val="0"/>
                <w:szCs w:val="21"/>
              </w:rPr>
              <w:t>根据现场调查，项目区域内不涉及自然保护区、森林公园及风景名胜区、生活饮用水水源保护区及其他需要特别保护区域，区域内无国家保护的重点野生动植物，无名木古树及珍稀动植物等，无特殊文物保护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792"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kern w:val="0"/>
                <w:szCs w:val="21"/>
              </w:rPr>
            </w:pPr>
            <w:r>
              <w:rPr>
                <w:kern w:val="0"/>
                <w:szCs w:val="21"/>
              </w:rPr>
              <w:t>污染</w:t>
            </w:r>
          </w:p>
          <w:p>
            <w:pPr>
              <w:adjustRightInd w:val="0"/>
              <w:snapToGrid w:val="0"/>
              <w:jc w:val="center"/>
              <w:rPr>
                <w:kern w:val="0"/>
                <w:szCs w:val="21"/>
              </w:rPr>
            </w:pPr>
            <w:r>
              <w:rPr>
                <w:kern w:val="0"/>
                <w:szCs w:val="21"/>
              </w:rPr>
              <w:t>物排</w:t>
            </w:r>
          </w:p>
          <w:p>
            <w:pPr>
              <w:adjustRightInd w:val="0"/>
              <w:snapToGrid w:val="0"/>
              <w:jc w:val="center"/>
              <w:rPr>
                <w:kern w:val="0"/>
                <w:szCs w:val="21"/>
              </w:rPr>
            </w:pPr>
            <w:r>
              <w:rPr>
                <w:kern w:val="0"/>
                <w:szCs w:val="21"/>
              </w:rPr>
              <w:t>放控</w:t>
            </w:r>
          </w:p>
          <w:p>
            <w:pPr>
              <w:adjustRightInd w:val="0"/>
              <w:snapToGrid w:val="0"/>
              <w:jc w:val="center"/>
              <w:rPr>
                <w:kern w:val="0"/>
                <w:szCs w:val="21"/>
              </w:rPr>
            </w:pPr>
            <w:r>
              <w:rPr>
                <w:kern w:val="0"/>
                <w:szCs w:val="21"/>
              </w:rPr>
              <w:t>制标</w:t>
            </w:r>
          </w:p>
          <w:p>
            <w:pPr>
              <w:adjustRightInd w:val="0"/>
              <w:snapToGrid w:val="0"/>
              <w:jc w:val="center"/>
              <w:rPr>
                <w:kern w:val="0"/>
                <w:szCs w:val="21"/>
              </w:rPr>
            </w:pPr>
            <w:r>
              <w:rPr>
                <w:kern w:val="0"/>
                <w:szCs w:val="21"/>
              </w:rPr>
              <w:t>准</w:t>
            </w:r>
          </w:p>
        </w:tc>
        <w:tc>
          <w:tcPr>
            <w:tcW w:w="8127"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firstLine="420" w:firstLineChars="200"/>
              <w:jc w:val="left"/>
              <w:rPr>
                <w:rFonts w:cs="宋体"/>
                <w:szCs w:val="21"/>
              </w:rPr>
            </w:pPr>
            <w:r>
              <w:rPr>
                <w:szCs w:val="21"/>
              </w:rPr>
              <w:t>1</w:t>
            </w:r>
            <w:r>
              <w:rPr>
                <w:rFonts w:hint="eastAsia" w:cs="宋体"/>
                <w:szCs w:val="21"/>
              </w:rPr>
              <w:t>．大气污染物：</w:t>
            </w:r>
          </w:p>
          <w:p>
            <w:pPr>
              <w:autoSpaceDE w:val="0"/>
              <w:autoSpaceDN w:val="0"/>
              <w:adjustRightInd w:val="0"/>
              <w:snapToGrid w:val="0"/>
              <w:spacing w:line="400" w:lineRule="exact"/>
              <w:ind w:firstLine="404" w:firstLineChars="200"/>
              <w:jc w:val="left"/>
              <w:rPr>
                <w:rFonts w:cs="宋体"/>
                <w:spacing w:val="-4"/>
                <w:kern w:val="0"/>
                <w:szCs w:val="21"/>
              </w:rPr>
            </w:pPr>
            <w:r>
              <w:rPr>
                <w:rFonts w:hint="eastAsia" w:cs="宋体"/>
                <w:spacing w:val="-4"/>
                <w:kern w:val="0"/>
                <w:szCs w:val="21"/>
              </w:rPr>
              <w:t>施工期废气执行《四川省施工场地扬尘排放标准》（</w:t>
            </w:r>
            <w:r>
              <w:rPr>
                <w:rFonts w:cs="宋体"/>
                <w:spacing w:val="-4"/>
                <w:kern w:val="0"/>
                <w:szCs w:val="21"/>
              </w:rPr>
              <w:t>DB51/2682-2020</w:t>
            </w:r>
            <w:r>
              <w:rPr>
                <w:rFonts w:hint="eastAsia" w:cs="宋体"/>
                <w:spacing w:val="-4"/>
                <w:kern w:val="0"/>
                <w:szCs w:val="21"/>
              </w:rPr>
              <w:t>）中的标准限值。</w:t>
            </w:r>
          </w:p>
          <w:p>
            <w:pPr>
              <w:spacing w:line="400" w:lineRule="exact"/>
              <w:jc w:val="center"/>
              <w:rPr>
                <w:b/>
                <w:sz w:val="18"/>
                <w:szCs w:val="18"/>
              </w:rPr>
            </w:pPr>
            <w:r>
              <w:rPr>
                <w:rFonts w:hint="eastAsia" w:cs="宋体"/>
                <w:b/>
                <w:sz w:val="18"/>
                <w:szCs w:val="18"/>
              </w:rPr>
              <w:t>表3-6    四川省施工期场地扬尘排放限值</w:t>
            </w:r>
          </w:p>
          <w:tbl>
            <w:tblPr>
              <w:tblStyle w:val="21"/>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917"/>
              <w:gridCol w:w="1682"/>
              <w:gridCol w:w="1794"/>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监测项目</w:t>
                  </w:r>
                </w:p>
              </w:tc>
              <w:tc>
                <w:tcPr>
                  <w:tcW w:w="9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区域</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施工阶段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监测点排放限值（</w:t>
                  </w:r>
                  <w:r>
                    <w:rPr>
                      <w:sz w:val="18"/>
                      <w:szCs w:val="18"/>
                    </w:rPr>
                    <w:t>ug/m</w:t>
                  </w:r>
                  <w:r>
                    <w:rPr>
                      <w:sz w:val="18"/>
                      <w:szCs w:val="18"/>
                      <w:vertAlign w:val="superscript"/>
                    </w:rPr>
                    <w:t>3</w:t>
                  </w:r>
                  <w:r>
                    <w:rPr>
                      <w:rFonts w:hint="eastAsia" w:cs="宋体"/>
                      <w:sz w:val="18"/>
                      <w:szCs w:val="18"/>
                    </w:rPr>
                    <w:t>）</w:t>
                  </w:r>
                </w:p>
              </w:tc>
              <w:tc>
                <w:tcPr>
                  <w:tcW w:w="128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总悬浮颗粒物（</w:t>
                  </w:r>
                  <w:r>
                    <w:rPr>
                      <w:sz w:val="18"/>
                      <w:szCs w:val="18"/>
                    </w:rPr>
                    <w:t>TSP</w:t>
                  </w:r>
                  <w:r>
                    <w:rPr>
                      <w:rFonts w:hint="eastAsia" w:cs="宋体"/>
                      <w:sz w:val="18"/>
                      <w:szCs w:val="18"/>
                    </w:rPr>
                    <w:t>）</w:t>
                  </w:r>
                </w:p>
              </w:tc>
              <w:tc>
                <w:tcPr>
                  <w:tcW w:w="9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达州市</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拆除工程</w:t>
                  </w:r>
                  <w:r>
                    <w:rPr>
                      <w:sz w:val="18"/>
                      <w:szCs w:val="18"/>
                    </w:rPr>
                    <w:t>/</w:t>
                  </w:r>
                  <w:r>
                    <w:rPr>
                      <w:rFonts w:hint="eastAsia" w:cs="宋体"/>
                      <w:sz w:val="18"/>
                      <w:szCs w:val="18"/>
                    </w:rPr>
                    <w:t>土方开挖</w:t>
                  </w:r>
                  <w:r>
                    <w:rPr>
                      <w:sz w:val="18"/>
                      <w:szCs w:val="18"/>
                    </w:rPr>
                    <w:t>/</w:t>
                  </w:r>
                  <w:r>
                    <w:rPr>
                      <w:rFonts w:hint="eastAsia" w:cs="宋体"/>
                      <w:sz w:val="18"/>
                      <w:szCs w:val="18"/>
                    </w:rPr>
                    <w:t>土方回填阶段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sz w:val="18"/>
                      <w:szCs w:val="18"/>
                    </w:rPr>
                    <w:t>600</w:t>
                  </w:r>
                </w:p>
              </w:tc>
              <w:tc>
                <w:tcPr>
                  <w:tcW w:w="128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自监测起持续</w:t>
                  </w:r>
                  <w:r>
                    <w:rPr>
                      <w:sz w:val="18"/>
                      <w:szCs w:val="18"/>
                    </w:rPr>
                    <w:t>15</w:t>
                  </w:r>
                  <w:r>
                    <w:rPr>
                      <w:rFonts w:hint="eastAsia" w:cs="宋体"/>
                      <w:sz w:val="18"/>
                      <w:szCs w:val="1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01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92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rFonts w:hint="eastAsia" w:cs="宋体"/>
                      <w:sz w:val="18"/>
                      <w:szCs w:val="18"/>
                    </w:rPr>
                    <w:t>其他工程阶段</w:t>
                  </w:r>
                </w:p>
              </w:tc>
              <w:tc>
                <w:tcPr>
                  <w:tcW w:w="181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center"/>
                    <w:rPr>
                      <w:sz w:val="18"/>
                      <w:szCs w:val="18"/>
                    </w:rPr>
                  </w:pPr>
                  <w:r>
                    <w:rPr>
                      <w:sz w:val="18"/>
                      <w:szCs w:val="18"/>
                    </w:rPr>
                    <w:t>250</w:t>
                  </w:r>
                </w:p>
              </w:tc>
              <w:tc>
                <w:tcPr>
                  <w:tcW w:w="128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r>
          </w:tbl>
          <w:p>
            <w:pPr>
              <w:autoSpaceDE w:val="0"/>
              <w:autoSpaceDN w:val="0"/>
              <w:adjustRightInd w:val="0"/>
              <w:snapToGrid w:val="0"/>
              <w:spacing w:line="400" w:lineRule="exact"/>
              <w:ind w:firstLine="420" w:firstLineChars="200"/>
              <w:jc w:val="left"/>
              <w:rPr>
                <w:rFonts w:cs="宋体"/>
                <w:kern w:val="0"/>
                <w:szCs w:val="21"/>
              </w:rPr>
            </w:pPr>
            <w:r>
              <w:rPr>
                <w:rFonts w:cs="宋体"/>
                <w:kern w:val="0"/>
                <w:szCs w:val="21"/>
              </w:rPr>
              <w:t>营运期执行《</w:t>
            </w:r>
            <w:r>
              <w:rPr>
                <w:rFonts w:hint="eastAsia" w:cs="宋体"/>
                <w:kern w:val="0"/>
                <w:szCs w:val="21"/>
              </w:rPr>
              <w:t>锅炉</w:t>
            </w:r>
            <w:r>
              <w:rPr>
                <w:rFonts w:cs="宋体"/>
                <w:kern w:val="0"/>
                <w:szCs w:val="21"/>
              </w:rPr>
              <w:t>大气污染物排放标准》</w:t>
            </w:r>
            <w:r>
              <w:rPr>
                <w:rFonts w:hint="eastAsia" w:cs="宋体"/>
                <w:kern w:val="0"/>
                <w:szCs w:val="21"/>
              </w:rPr>
              <w:t>（GB 13271-2014）中表3大气污染物特别排放限值</w:t>
            </w:r>
            <w:r>
              <w:rPr>
                <w:rFonts w:cs="宋体"/>
                <w:kern w:val="0"/>
                <w:szCs w:val="21"/>
              </w:rPr>
              <w:t>的</w:t>
            </w:r>
            <w:r>
              <w:rPr>
                <w:rFonts w:hint="eastAsia" w:cs="宋体"/>
                <w:kern w:val="0"/>
                <w:szCs w:val="21"/>
              </w:rPr>
              <w:t>要求</w:t>
            </w:r>
            <w:r>
              <w:rPr>
                <w:rFonts w:cs="宋体"/>
                <w:kern w:val="0"/>
                <w:szCs w:val="21"/>
              </w:rPr>
              <w:t>。</w:t>
            </w:r>
          </w:p>
          <w:p>
            <w:pPr>
              <w:autoSpaceDE w:val="0"/>
              <w:autoSpaceDN w:val="0"/>
              <w:adjustRightInd w:val="0"/>
              <w:snapToGrid w:val="0"/>
              <w:spacing w:line="400" w:lineRule="exact"/>
              <w:ind w:firstLine="360" w:firstLineChars="200"/>
              <w:jc w:val="center"/>
              <w:rPr>
                <w:rFonts w:eastAsia="黑体"/>
                <w:kern w:val="0"/>
                <w:sz w:val="20"/>
              </w:rPr>
            </w:pPr>
            <w:r>
              <w:rPr>
                <w:rFonts w:ascii="黑体" w:hAnsi="黑体" w:eastAsia="黑体"/>
                <w:kern w:val="0"/>
                <w:sz w:val="18"/>
                <w:szCs w:val="20"/>
              </w:rPr>
              <w:t>表</w:t>
            </w:r>
            <w:r>
              <w:rPr>
                <w:rFonts w:eastAsia="黑体"/>
                <w:kern w:val="0"/>
                <w:sz w:val="18"/>
                <w:szCs w:val="20"/>
              </w:rPr>
              <w:t>3-</w:t>
            </w:r>
            <w:r>
              <w:rPr>
                <w:rFonts w:hint="eastAsia" w:eastAsia="黑体"/>
                <w:kern w:val="0"/>
                <w:sz w:val="18"/>
                <w:szCs w:val="20"/>
              </w:rPr>
              <w:t xml:space="preserve">6 </w:t>
            </w:r>
            <w:r>
              <w:rPr>
                <w:rFonts w:eastAsia="黑体"/>
                <w:kern w:val="0"/>
                <w:sz w:val="18"/>
                <w:szCs w:val="20"/>
              </w:rPr>
              <w:t xml:space="preserve">  </w:t>
            </w:r>
            <w:r>
              <w:rPr>
                <w:rFonts w:ascii="黑体" w:hAnsi="黑体" w:eastAsia="黑体"/>
                <w:kern w:val="0"/>
                <w:sz w:val="18"/>
                <w:szCs w:val="20"/>
              </w:rPr>
              <w:t>锅炉大气污染物</w:t>
            </w:r>
            <w:r>
              <w:rPr>
                <w:rFonts w:hint="eastAsia" w:ascii="黑体" w:hAnsi="黑体" w:eastAsia="黑体"/>
                <w:kern w:val="0"/>
                <w:sz w:val="18"/>
                <w:szCs w:val="20"/>
              </w:rPr>
              <w:t>特别</w:t>
            </w:r>
            <w:r>
              <w:rPr>
                <w:rFonts w:ascii="黑体" w:hAnsi="黑体" w:eastAsia="黑体"/>
                <w:kern w:val="0"/>
                <w:sz w:val="18"/>
                <w:szCs w:val="20"/>
              </w:rPr>
              <w:t>排放</w:t>
            </w:r>
            <w:r>
              <w:rPr>
                <w:rFonts w:hint="eastAsia" w:ascii="黑体" w:hAnsi="黑体" w:eastAsia="黑体"/>
                <w:kern w:val="0"/>
                <w:sz w:val="18"/>
                <w:szCs w:val="20"/>
              </w:rPr>
              <w:t>限值</w:t>
            </w:r>
          </w:p>
          <w:tbl>
            <w:tblPr>
              <w:tblStyle w:val="21"/>
              <w:tblW w:w="0" w:type="auto"/>
              <w:jc w:val="center"/>
              <w:tblLayout w:type="fixed"/>
              <w:tblCellMar>
                <w:top w:w="0" w:type="dxa"/>
                <w:left w:w="108" w:type="dxa"/>
                <w:bottom w:w="0" w:type="dxa"/>
                <w:right w:w="108" w:type="dxa"/>
              </w:tblCellMar>
            </w:tblPr>
            <w:tblGrid>
              <w:gridCol w:w="2574"/>
              <w:gridCol w:w="1094"/>
              <w:gridCol w:w="1055"/>
              <w:gridCol w:w="1272"/>
              <w:gridCol w:w="1903"/>
            </w:tblGrid>
            <w:tr>
              <w:tblPrEx>
                <w:tblCellMar>
                  <w:top w:w="0" w:type="dxa"/>
                  <w:left w:w="108" w:type="dxa"/>
                  <w:bottom w:w="0" w:type="dxa"/>
                  <w:right w:w="108" w:type="dxa"/>
                </w:tblCellMar>
              </w:tblPrEx>
              <w:trPr>
                <w:trHeight w:val="276" w:hRule="atLeast"/>
                <w:jc w:val="center"/>
              </w:trPr>
              <w:tc>
                <w:tcPr>
                  <w:tcW w:w="2574" w:type="dxa"/>
                  <w:vMerge w:val="restart"/>
                  <w:tcBorders>
                    <w:top w:val="single" w:color="auto" w:sz="4" w:space="0"/>
                    <w:left w:val="single" w:color="auto" w:sz="4" w:space="0"/>
                    <w:bottom w:val="nil"/>
                    <w:right w:val="single" w:color="auto" w:sz="4" w:space="0"/>
                  </w:tcBorders>
                  <w:vAlign w:val="center"/>
                </w:tcPr>
                <w:p>
                  <w:pPr>
                    <w:autoSpaceDE w:val="0"/>
                    <w:adjustRightInd w:val="0"/>
                    <w:spacing w:line="240" w:lineRule="atLeast"/>
                    <w:jc w:val="center"/>
                    <w:rPr>
                      <w:b/>
                      <w:bCs/>
                      <w:sz w:val="18"/>
                      <w:szCs w:val="18"/>
                    </w:rPr>
                  </w:pPr>
                  <w:r>
                    <w:rPr>
                      <w:rFonts w:ascii="宋体" w:hAnsi="宋体"/>
                      <w:b/>
                      <w:bCs/>
                      <w:sz w:val="18"/>
                      <w:szCs w:val="18"/>
                    </w:rPr>
                    <w:t>污染物项目</w:t>
                  </w:r>
                </w:p>
              </w:tc>
              <w:tc>
                <w:tcPr>
                  <w:tcW w:w="3421" w:type="dxa"/>
                  <w:gridSpan w:val="3"/>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b/>
                      <w:bCs/>
                      <w:sz w:val="18"/>
                      <w:szCs w:val="18"/>
                    </w:rPr>
                  </w:pPr>
                  <w:r>
                    <w:rPr>
                      <w:rFonts w:ascii="宋体" w:hAnsi="宋体"/>
                      <w:b/>
                      <w:bCs/>
                      <w:sz w:val="18"/>
                      <w:szCs w:val="18"/>
                    </w:rPr>
                    <w:t>限值，</w:t>
                  </w:r>
                  <w:r>
                    <w:rPr>
                      <w:b/>
                      <w:bCs/>
                      <w:sz w:val="18"/>
                      <w:szCs w:val="18"/>
                    </w:rPr>
                    <w:t>mg/m</w:t>
                  </w:r>
                  <w:r>
                    <w:rPr>
                      <w:b/>
                      <w:bCs/>
                      <w:sz w:val="18"/>
                      <w:szCs w:val="18"/>
                      <w:vertAlign w:val="superscript"/>
                    </w:rPr>
                    <w:t>3</w:t>
                  </w:r>
                </w:p>
              </w:tc>
              <w:tc>
                <w:tcPr>
                  <w:tcW w:w="1903" w:type="dxa"/>
                  <w:vMerge w:val="restart"/>
                  <w:tcBorders>
                    <w:top w:val="single" w:color="auto" w:sz="4" w:space="0"/>
                    <w:left w:val="nil"/>
                    <w:bottom w:val="nil"/>
                    <w:right w:val="single" w:color="auto" w:sz="4" w:space="0"/>
                  </w:tcBorders>
                  <w:vAlign w:val="center"/>
                </w:tcPr>
                <w:p>
                  <w:pPr>
                    <w:autoSpaceDE w:val="0"/>
                    <w:adjustRightInd w:val="0"/>
                    <w:spacing w:line="240" w:lineRule="atLeast"/>
                    <w:jc w:val="center"/>
                    <w:rPr>
                      <w:b/>
                      <w:bCs/>
                      <w:sz w:val="18"/>
                      <w:szCs w:val="18"/>
                    </w:rPr>
                  </w:pPr>
                  <w:r>
                    <w:rPr>
                      <w:rFonts w:ascii="宋体" w:hAnsi="宋体"/>
                      <w:b/>
                      <w:bCs/>
                      <w:sz w:val="18"/>
                      <w:szCs w:val="18"/>
                    </w:rPr>
                    <w:t>污染物排放监控位置</w:t>
                  </w:r>
                </w:p>
              </w:tc>
            </w:tr>
            <w:tr>
              <w:tblPrEx>
                <w:tblCellMar>
                  <w:top w:w="0" w:type="dxa"/>
                  <w:left w:w="108" w:type="dxa"/>
                  <w:bottom w:w="0" w:type="dxa"/>
                  <w:right w:w="108" w:type="dxa"/>
                </w:tblCellMar>
              </w:tblPrEx>
              <w:trPr>
                <w:trHeight w:val="276" w:hRule="atLeast"/>
                <w:jc w:val="center"/>
              </w:trPr>
              <w:tc>
                <w:tcPr>
                  <w:tcW w:w="2574" w:type="dxa"/>
                  <w:vMerge w:val="continue"/>
                  <w:tcBorders>
                    <w:top w:val="single" w:color="auto" w:sz="4" w:space="0"/>
                    <w:left w:val="single" w:color="auto" w:sz="4" w:space="0"/>
                    <w:bottom w:val="nil"/>
                    <w:right w:val="single" w:color="auto" w:sz="4" w:space="0"/>
                  </w:tcBorders>
                  <w:vAlign w:val="center"/>
                </w:tcPr>
                <w:p>
                  <w:pPr>
                    <w:widowControl/>
                    <w:jc w:val="left"/>
                    <w:rPr>
                      <w:b/>
                      <w:bCs/>
                      <w:sz w:val="18"/>
                      <w:szCs w:val="18"/>
                    </w:rPr>
                  </w:pPr>
                </w:p>
              </w:tc>
              <w:tc>
                <w:tcPr>
                  <w:tcW w:w="1094"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b/>
                      <w:bCs/>
                      <w:sz w:val="18"/>
                      <w:szCs w:val="18"/>
                    </w:rPr>
                  </w:pPr>
                  <w:r>
                    <w:rPr>
                      <w:rFonts w:ascii="宋体" w:hAnsi="宋体"/>
                      <w:b/>
                      <w:bCs/>
                      <w:sz w:val="18"/>
                      <w:szCs w:val="18"/>
                    </w:rPr>
                    <w:t>燃煤锅炉</w:t>
                  </w:r>
                </w:p>
              </w:tc>
              <w:tc>
                <w:tcPr>
                  <w:tcW w:w="1055"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b/>
                      <w:bCs/>
                      <w:sz w:val="18"/>
                      <w:szCs w:val="18"/>
                    </w:rPr>
                  </w:pPr>
                  <w:r>
                    <w:rPr>
                      <w:rFonts w:ascii="宋体" w:hAnsi="宋体"/>
                      <w:b/>
                      <w:bCs/>
                      <w:sz w:val="18"/>
                      <w:szCs w:val="18"/>
                    </w:rPr>
                    <w:t>燃油锅炉</w:t>
                  </w:r>
                </w:p>
              </w:tc>
              <w:tc>
                <w:tcPr>
                  <w:tcW w:w="1272"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b/>
                      <w:bCs/>
                      <w:sz w:val="18"/>
                      <w:szCs w:val="18"/>
                    </w:rPr>
                  </w:pPr>
                  <w:r>
                    <w:rPr>
                      <w:rFonts w:ascii="宋体" w:hAnsi="宋体"/>
                      <w:b/>
                      <w:bCs/>
                      <w:sz w:val="18"/>
                      <w:szCs w:val="18"/>
                    </w:rPr>
                    <w:t>燃气锅炉</w:t>
                  </w:r>
                </w:p>
              </w:tc>
              <w:tc>
                <w:tcPr>
                  <w:tcW w:w="1903" w:type="dxa"/>
                  <w:vMerge w:val="continue"/>
                  <w:tcBorders>
                    <w:top w:val="single" w:color="auto" w:sz="4" w:space="0"/>
                    <w:left w:val="nil"/>
                    <w:bottom w:val="nil"/>
                    <w:right w:val="single" w:color="auto" w:sz="4" w:space="0"/>
                  </w:tcBorders>
                  <w:vAlign w:val="center"/>
                </w:tcPr>
                <w:p>
                  <w:pPr>
                    <w:widowControl/>
                    <w:jc w:val="left"/>
                    <w:rPr>
                      <w:b/>
                      <w:bCs/>
                      <w:sz w:val="18"/>
                      <w:szCs w:val="18"/>
                    </w:rPr>
                  </w:pPr>
                </w:p>
              </w:tc>
            </w:tr>
            <w:tr>
              <w:tblPrEx>
                <w:tblCellMar>
                  <w:top w:w="0" w:type="dxa"/>
                  <w:left w:w="108" w:type="dxa"/>
                  <w:bottom w:w="0" w:type="dxa"/>
                  <w:right w:w="108" w:type="dxa"/>
                </w:tblCellMar>
              </w:tblPrEx>
              <w:trPr>
                <w:trHeight w:val="277" w:hRule="atLeast"/>
                <w:jc w:val="center"/>
              </w:trPr>
              <w:tc>
                <w:tcPr>
                  <w:tcW w:w="2574" w:type="dxa"/>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颗粒物</w:t>
                  </w:r>
                </w:p>
              </w:tc>
              <w:tc>
                <w:tcPr>
                  <w:tcW w:w="1094"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rFonts w:hint="eastAsia"/>
                      <w:sz w:val="18"/>
                      <w:szCs w:val="18"/>
                    </w:rPr>
                    <w:t>3</w:t>
                  </w:r>
                  <w:r>
                    <w:rPr>
                      <w:sz w:val="18"/>
                      <w:szCs w:val="18"/>
                    </w:rPr>
                    <w:t>0</w:t>
                  </w:r>
                </w:p>
              </w:tc>
              <w:tc>
                <w:tcPr>
                  <w:tcW w:w="1055"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30</w:t>
                  </w:r>
                </w:p>
              </w:tc>
              <w:tc>
                <w:tcPr>
                  <w:tcW w:w="1272"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20</w:t>
                  </w:r>
                </w:p>
              </w:tc>
              <w:tc>
                <w:tcPr>
                  <w:tcW w:w="1903" w:type="dxa"/>
                  <w:vMerge w:val="restart"/>
                  <w:tcBorders>
                    <w:top w:val="nil"/>
                    <w:left w:val="nil"/>
                    <w:bottom w:val="nil"/>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烟囱或烟道</w:t>
                  </w:r>
                </w:p>
              </w:tc>
            </w:tr>
            <w:tr>
              <w:tblPrEx>
                <w:tblCellMar>
                  <w:top w:w="0" w:type="dxa"/>
                  <w:left w:w="108" w:type="dxa"/>
                  <w:bottom w:w="0" w:type="dxa"/>
                  <w:right w:w="108" w:type="dxa"/>
                </w:tblCellMar>
              </w:tblPrEx>
              <w:trPr>
                <w:trHeight w:val="277" w:hRule="atLeast"/>
                <w:jc w:val="center"/>
              </w:trPr>
              <w:tc>
                <w:tcPr>
                  <w:tcW w:w="2574" w:type="dxa"/>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二氧化硫</w:t>
                  </w:r>
                </w:p>
              </w:tc>
              <w:tc>
                <w:tcPr>
                  <w:tcW w:w="1094"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rFonts w:hint="eastAsia"/>
                      <w:sz w:val="18"/>
                      <w:szCs w:val="18"/>
                    </w:rPr>
                    <w:t>2</w:t>
                  </w:r>
                  <w:r>
                    <w:rPr>
                      <w:sz w:val="18"/>
                      <w:szCs w:val="18"/>
                    </w:rPr>
                    <w:t>00</w:t>
                  </w:r>
                </w:p>
              </w:tc>
              <w:tc>
                <w:tcPr>
                  <w:tcW w:w="1055"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rFonts w:hint="eastAsia"/>
                      <w:sz w:val="18"/>
                      <w:szCs w:val="18"/>
                    </w:rPr>
                    <w:t>1</w:t>
                  </w:r>
                  <w:r>
                    <w:rPr>
                      <w:sz w:val="18"/>
                      <w:szCs w:val="18"/>
                    </w:rPr>
                    <w:t>00</w:t>
                  </w:r>
                </w:p>
              </w:tc>
              <w:tc>
                <w:tcPr>
                  <w:tcW w:w="1272"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50</w:t>
                  </w:r>
                </w:p>
              </w:tc>
              <w:tc>
                <w:tcPr>
                  <w:tcW w:w="1903" w:type="dxa"/>
                  <w:vMerge w:val="continue"/>
                  <w:tcBorders>
                    <w:top w:val="nil"/>
                    <w:left w:val="nil"/>
                    <w:bottom w:val="nil"/>
                    <w:right w:val="single" w:color="auto" w:sz="4" w:space="0"/>
                  </w:tcBorders>
                  <w:vAlign w:val="center"/>
                </w:tcPr>
                <w:p>
                  <w:pPr>
                    <w:widowControl/>
                    <w:jc w:val="left"/>
                    <w:rPr>
                      <w:sz w:val="18"/>
                      <w:szCs w:val="18"/>
                    </w:rPr>
                  </w:pPr>
                </w:p>
              </w:tc>
            </w:tr>
            <w:tr>
              <w:tblPrEx>
                <w:tblCellMar>
                  <w:top w:w="0" w:type="dxa"/>
                  <w:left w:w="108" w:type="dxa"/>
                  <w:bottom w:w="0" w:type="dxa"/>
                  <w:right w:w="108" w:type="dxa"/>
                </w:tblCellMar>
              </w:tblPrEx>
              <w:trPr>
                <w:trHeight w:val="276" w:hRule="atLeast"/>
                <w:jc w:val="center"/>
              </w:trPr>
              <w:tc>
                <w:tcPr>
                  <w:tcW w:w="2574" w:type="dxa"/>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氮氧化物</w:t>
                  </w:r>
                </w:p>
              </w:tc>
              <w:tc>
                <w:tcPr>
                  <w:tcW w:w="1094"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rFonts w:hint="eastAsia"/>
                      <w:sz w:val="18"/>
                      <w:szCs w:val="18"/>
                    </w:rPr>
                    <w:t>2</w:t>
                  </w:r>
                  <w:r>
                    <w:rPr>
                      <w:sz w:val="18"/>
                      <w:szCs w:val="18"/>
                    </w:rPr>
                    <w:t>00</w:t>
                  </w:r>
                </w:p>
              </w:tc>
              <w:tc>
                <w:tcPr>
                  <w:tcW w:w="1055"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2</w:t>
                  </w:r>
                  <w:r>
                    <w:rPr>
                      <w:rFonts w:hint="eastAsia"/>
                      <w:sz w:val="18"/>
                      <w:szCs w:val="18"/>
                    </w:rPr>
                    <w:t>0</w:t>
                  </w:r>
                  <w:r>
                    <w:rPr>
                      <w:sz w:val="18"/>
                      <w:szCs w:val="18"/>
                    </w:rPr>
                    <w:t>0</w:t>
                  </w:r>
                </w:p>
              </w:tc>
              <w:tc>
                <w:tcPr>
                  <w:tcW w:w="1272"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rFonts w:hint="eastAsia"/>
                      <w:sz w:val="18"/>
                      <w:szCs w:val="18"/>
                    </w:rPr>
                    <w:t>15</w:t>
                  </w:r>
                  <w:r>
                    <w:rPr>
                      <w:sz w:val="18"/>
                      <w:szCs w:val="18"/>
                    </w:rPr>
                    <w:t>0</w:t>
                  </w:r>
                </w:p>
              </w:tc>
              <w:tc>
                <w:tcPr>
                  <w:tcW w:w="1903" w:type="dxa"/>
                  <w:vMerge w:val="continue"/>
                  <w:tcBorders>
                    <w:top w:val="nil"/>
                    <w:left w:val="nil"/>
                    <w:bottom w:val="nil"/>
                    <w:right w:val="single" w:color="auto" w:sz="4" w:space="0"/>
                  </w:tcBorders>
                  <w:vAlign w:val="center"/>
                </w:tcPr>
                <w:p>
                  <w:pPr>
                    <w:widowControl/>
                    <w:jc w:val="left"/>
                    <w:rPr>
                      <w:sz w:val="18"/>
                      <w:szCs w:val="18"/>
                    </w:rPr>
                  </w:pPr>
                </w:p>
              </w:tc>
            </w:tr>
            <w:tr>
              <w:tblPrEx>
                <w:tblCellMar>
                  <w:top w:w="0" w:type="dxa"/>
                  <w:left w:w="108" w:type="dxa"/>
                  <w:bottom w:w="0" w:type="dxa"/>
                  <w:right w:w="108" w:type="dxa"/>
                </w:tblCellMar>
              </w:tblPrEx>
              <w:trPr>
                <w:trHeight w:val="276" w:hRule="atLeast"/>
                <w:jc w:val="center"/>
              </w:trPr>
              <w:tc>
                <w:tcPr>
                  <w:tcW w:w="2574" w:type="dxa"/>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汞及其化合物</w:t>
                  </w:r>
                </w:p>
              </w:tc>
              <w:tc>
                <w:tcPr>
                  <w:tcW w:w="1094"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0.05</w:t>
                  </w:r>
                </w:p>
              </w:tc>
              <w:tc>
                <w:tcPr>
                  <w:tcW w:w="1055"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w:t>
                  </w:r>
                </w:p>
              </w:tc>
              <w:tc>
                <w:tcPr>
                  <w:tcW w:w="1272"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w:t>
                  </w:r>
                </w:p>
              </w:tc>
              <w:tc>
                <w:tcPr>
                  <w:tcW w:w="1903" w:type="dxa"/>
                  <w:vMerge w:val="continue"/>
                  <w:tcBorders>
                    <w:top w:val="nil"/>
                    <w:left w:val="nil"/>
                    <w:bottom w:val="nil"/>
                    <w:right w:val="single" w:color="auto" w:sz="4" w:space="0"/>
                  </w:tcBorders>
                  <w:vAlign w:val="center"/>
                </w:tcPr>
                <w:p>
                  <w:pPr>
                    <w:widowControl/>
                    <w:jc w:val="left"/>
                    <w:rPr>
                      <w:sz w:val="18"/>
                      <w:szCs w:val="18"/>
                    </w:rPr>
                  </w:pPr>
                </w:p>
              </w:tc>
            </w:tr>
            <w:tr>
              <w:tblPrEx>
                <w:tblCellMar>
                  <w:top w:w="0" w:type="dxa"/>
                  <w:left w:w="108" w:type="dxa"/>
                  <w:bottom w:w="0" w:type="dxa"/>
                  <w:right w:w="108" w:type="dxa"/>
                </w:tblCellMar>
              </w:tblPrEx>
              <w:trPr>
                <w:trHeight w:val="307" w:hRule="atLeast"/>
                <w:jc w:val="center"/>
              </w:trPr>
              <w:tc>
                <w:tcPr>
                  <w:tcW w:w="2574" w:type="dxa"/>
                  <w:tcBorders>
                    <w:top w:val="single" w:color="auto" w:sz="4" w:space="0"/>
                    <w:left w:val="single" w:color="auto" w:sz="4" w:space="0"/>
                    <w:bottom w:val="single" w:color="auto" w:sz="4" w:space="0"/>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烟气黑度（林格曼黑度，级）</w:t>
                  </w:r>
                </w:p>
              </w:tc>
              <w:tc>
                <w:tcPr>
                  <w:tcW w:w="3421" w:type="dxa"/>
                  <w:gridSpan w:val="3"/>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sz w:val="18"/>
                      <w:szCs w:val="18"/>
                    </w:rPr>
                    <w:t>≤1</w:t>
                  </w:r>
                </w:p>
              </w:tc>
              <w:tc>
                <w:tcPr>
                  <w:tcW w:w="1903" w:type="dxa"/>
                  <w:tcBorders>
                    <w:top w:val="single" w:color="auto" w:sz="4" w:space="0"/>
                    <w:left w:val="nil"/>
                    <w:bottom w:val="single" w:color="auto" w:sz="4" w:space="0"/>
                    <w:right w:val="single" w:color="auto" w:sz="4" w:space="0"/>
                  </w:tcBorders>
                  <w:vAlign w:val="center"/>
                </w:tcPr>
                <w:p>
                  <w:pPr>
                    <w:autoSpaceDE w:val="0"/>
                    <w:adjustRightInd w:val="0"/>
                    <w:spacing w:line="240" w:lineRule="atLeast"/>
                    <w:jc w:val="center"/>
                    <w:rPr>
                      <w:sz w:val="18"/>
                      <w:szCs w:val="18"/>
                    </w:rPr>
                  </w:pPr>
                  <w:r>
                    <w:rPr>
                      <w:rFonts w:ascii="宋体" w:hAnsi="宋体"/>
                      <w:sz w:val="18"/>
                      <w:szCs w:val="18"/>
                    </w:rPr>
                    <w:t>烟囱排放口</w:t>
                  </w:r>
                </w:p>
              </w:tc>
            </w:tr>
          </w:tbl>
          <w:p>
            <w:pPr>
              <w:autoSpaceDE w:val="0"/>
              <w:autoSpaceDN w:val="0"/>
              <w:adjustRightInd w:val="0"/>
              <w:snapToGrid w:val="0"/>
              <w:spacing w:line="400" w:lineRule="exact"/>
              <w:ind w:firstLine="420" w:firstLineChars="200"/>
              <w:jc w:val="left"/>
              <w:rPr>
                <w:kern w:val="0"/>
                <w:szCs w:val="21"/>
              </w:rPr>
            </w:pPr>
            <w:r>
              <w:rPr>
                <w:kern w:val="0"/>
                <w:szCs w:val="21"/>
              </w:rPr>
              <w:t>2. 废水</w:t>
            </w:r>
          </w:p>
          <w:p>
            <w:pPr>
              <w:autoSpaceDE w:val="0"/>
              <w:autoSpaceDN w:val="0"/>
              <w:adjustRightInd w:val="0"/>
              <w:snapToGrid w:val="0"/>
              <w:spacing w:line="400" w:lineRule="exact"/>
              <w:ind w:firstLine="420" w:firstLineChars="200"/>
              <w:jc w:val="left"/>
              <w:rPr>
                <w:kern w:val="0"/>
              </w:rPr>
            </w:pPr>
            <w:r>
              <w:rPr>
                <w:rFonts w:ascii="宋体" w:hAnsi="宋体"/>
                <w:kern w:val="0"/>
              </w:rPr>
              <w:t>本项目</w:t>
            </w:r>
            <w:r>
              <w:rPr>
                <w:rFonts w:hint="eastAsia" w:ascii="宋体" w:hAnsi="宋体"/>
                <w:kern w:val="0"/>
              </w:rPr>
              <w:t>锅炉、软水设备产生的</w:t>
            </w:r>
            <w:r>
              <w:rPr>
                <w:rFonts w:ascii="宋体" w:hAnsi="宋体"/>
                <w:kern w:val="0"/>
              </w:rPr>
              <w:t>废水</w:t>
            </w:r>
            <w:r>
              <w:rPr>
                <w:rFonts w:hint="eastAsia" w:ascii="宋体" w:hAnsi="宋体"/>
                <w:kern w:val="0"/>
              </w:rPr>
              <w:t>收集后，</w:t>
            </w:r>
            <w:r>
              <w:rPr>
                <w:rFonts w:ascii="宋体" w:hAnsi="宋体"/>
                <w:kern w:val="0"/>
              </w:rPr>
              <w:t>排入洗涤废水处理池，处理后经自建管网进入东岳场镇污水管网，最终进入东岳场镇污水处理厂。废水排放执行《污水综合排放标准》</w:t>
            </w:r>
            <w:r>
              <w:rPr>
                <w:kern w:val="0"/>
              </w:rPr>
              <w:t>(</w:t>
            </w:r>
            <w:r>
              <w:fldChar w:fldCharType="begin"/>
            </w:r>
            <w:r>
              <w:instrText xml:space="preserve"> HYPERLINK "http://www.baidu.com/link?url=7tsbnW_2QlYqlRm1s5LoQiXq21nuMYpxXCiEB9RpeGN0OBq1RcmmmkuwEjH4i89-K2NK94lMRWHjREIJXet-EK" </w:instrText>
            </w:r>
            <w:r>
              <w:fldChar w:fldCharType="separate"/>
            </w:r>
            <w:r>
              <w:rPr>
                <w:rStyle w:val="24"/>
                <w:color w:val="auto"/>
                <w:kern w:val="0"/>
                <w:u w:val="none"/>
              </w:rPr>
              <w:t>GB8978-1996</w:t>
            </w:r>
            <w:r>
              <w:rPr>
                <w:rStyle w:val="24"/>
                <w:color w:val="auto"/>
                <w:kern w:val="0"/>
                <w:u w:val="none"/>
              </w:rPr>
              <w:fldChar w:fldCharType="end"/>
            </w:r>
            <w:r>
              <w:rPr>
                <w:kern w:val="0"/>
              </w:rPr>
              <w:t>)</w:t>
            </w:r>
            <w:r>
              <w:rPr>
                <w:rFonts w:ascii="宋体" w:hAnsi="宋体"/>
                <w:kern w:val="0"/>
              </w:rPr>
              <w:t>表</w:t>
            </w:r>
            <w:r>
              <w:rPr>
                <w:kern w:val="0"/>
              </w:rPr>
              <w:t>4</w:t>
            </w:r>
            <w:r>
              <w:rPr>
                <w:rFonts w:ascii="宋体" w:hAnsi="宋体"/>
                <w:kern w:val="0"/>
              </w:rPr>
              <w:t>中三级标准。</w:t>
            </w:r>
          </w:p>
          <w:p>
            <w:pPr>
              <w:autoSpaceDE w:val="0"/>
              <w:autoSpaceDN w:val="0"/>
              <w:adjustRightInd w:val="0"/>
              <w:snapToGrid w:val="0"/>
              <w:spacing w:line="400" w:lineRule="exact"/>
              <w:ind w:firstLine="360" w:firstLineChars="200"/>
              <w:jc w:val="center"/>
              <w:rPr>
                <w:rFonts w:eastAsia="黑体"/>
                <w:kern w:val="0"/>
                <w:sz w:val="20"/>
              </w:rPr>
            </w:pPr>
            <w:r>
              <w:rPr>
                <w:rFonts w:ascii="黑体" w:hAnsi="黑体" w:eastAsia="黑体"/>
                <w:kern w:val="0"/>
                <w:sz w:val="18"/>
                <w:szCs w:val="20"/>
              </w:rPr>
              <w:t>表</w:t>
            </w:r>
            <w:r>
              <w:rPr>
                <w:rFonts w:eastAsia="黑体"/>
                <w:kern w:val="0"/>
                <w:sz w:val="18"/>
                <w:szCs w:val="20"/>
              </w:rPr>
              <w:t>3-</w:t>
            </w:r>
            <w:r>
              <w:rPr>
                <w:rFonts w:hint="eastAsia" w:eastAsia="黑体"/>
                <w:kern w:val="0"/>
                <w:sz w:val="18"/>
                <w:szCs w:val="20"/>
              </w:rPr>
              <w:t xml:space="preserve">7 </w:t>
            </w:r>
            <w:r>
              <w:rPr>
                <w:rFonts w:eastAsia="黑体"/>
                <w:kern w:val="0"/>
                <w:sz w:val="18"/>
                <w:szCs w:val="20"/>
              </w:rPr>
              <w:t xml:space="preserve">  </w:t>
            </w:r>
            <w:r>
              <w:rPr>
                <w:rFonts w:ascii="黑体" w:hAnsi="黑体" w:eastAsia="黑体"/>
                <w:kern w:val="0"/>
                <w:sz w:val="18"/>
                <w:szCs w:val="20"/>
              </w:rPr>
              <w:t>废水排放标准</w:t>
            </w:r>
          </w:p>
          <w:tbl>
            <w:tblPr>
              <w:tblStyle w:val="21"/>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859"/>
              <w:gridCol w:w="1034"/>
              <w:gridCol w:w="1126"/>
              <w:gridCol w:w="129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ascii="宋体" w:hAnsi="宋体"/>
                      <w:b/>
                      <w:bCs/>
                      <w:sz w:val="18"/>
                      <w:szCs w:val="18"/>
                    </w:rPr>
                    <w:t>污染物类别</w:t>
                  </w:r>
                </w:p>
              </w:tc>
              <w:tc>
                <w:tcPr>
                  <w:tcW w:w="85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b/>
                      <w:bCs/>
                      <w:sz w:val="18"/>
                      <w:szCs w:val="18"/>
                    </w:rPr>
                    <w:t>SS</w:t>
                  </w:r>
                </w:p>
              </w:tc>
              <w:tc>
                <w:tcPr>
                  <w:tcW w:w="1034"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b/>
                      <w:bCs/>
                      <w:sz w:val="18"/>
                      <w:szCs w:val="18"/>
                    </w:rPr>
                    <w:t>BOD</w:t>
                  </w:r>
                  <w:r>
                    <w:rPr>
                      <w:b/>
                      <w:bCs/>
                      <w:sz w:val="18"/>
                      <w:szCs w:val="18"/>
                      <w:vertAlign w:val="subscript"/>
                    </w:rPr>
                    <w:t>5</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b/>
                      <w:bCs/>
                      <w:sz w:val="18"/>
                      <w:szCs w:val="18"/>
                    </w:rPr>
                    <w:t>CODcr</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ascii="宋体" w:hAnsi="宋体"/>
                      <w:b/>
                      <w:bCs/>
                      <w:sz w:val="18"/>
                      <w:szCs w:val="18"/>
                    </w:rPr>
                    <w:t>动植物油</w:t>
                  </w:r>
                </w:p>
              </w:tc>
              <w:tc>
                <w:tcPr>
                  <w:tcW w:w="1090"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b/>
                      <w:bCs/>
                      <w:sz w:val="18"/>
                      <w:szCs w:val="18"/>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rFonts w:ascii="宋体" w:hAnsi="宋体"/>
                      <w:sz w:val="18"/>
                      <w:szCs w:val="18"/>
                    </w:rPr>
                    <w:t>排放浓度（</w:t>
                  </w:r>
                  <w:r>
                    <w:rPr>
                      <w:sz w:val="18"/>
                      <w:szCs w:val="18"/>
                    </w:rPr>
                    <w:t>mg/L</w:t>
                  </w:r>
                  <w:r>
                    <w:rPr>
                      <w:rFonts w:ascii="宋体" w:hAnsi="宋体"/>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sz w:val="18"/>
                      <w:szCs w:val="18"/>
                    </w:rPr>
                    <w:t>400</w:t>
                  </w:r>
                </w:p>
              </w:tc>
              <w:tc>
                <w:tcPr>
                  <w:tcW w:w="1034"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sz w:val="18"/>
                      <w:szCs w:val="18"/>
                    </w:rPr>
                    <w:t>300</w:t>
                  </w:r>
                </w:p>
              </w:tc>
              <w:tc>
                <w:tcPr>
                  <w:tcW w:w="1126"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sz w:val="18"/>
                      <w:szCs w:val="18"/>
                    </w:rPr>
                    <w:t>500</w:t>
                  </w:r>
                </w:p>
              </w:tc>
              <w:tc>
                <w:tcPr>
                  <w:tcW w:w="129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sz w:val="18"/>
                      <w:szCs w:val="18"/>
                    </w:rPr>
                    <w:t>100</w:t>
                  </w:r>
                </w:p>
              </w:tc>
              <w:tc>
                <w:tcPr>
                  <w:tcW w:w="1090"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sz w:val="18"/>
                      <w:szCs w:val="18"/>
                    </w:rPr>
                    <w:t>6</w:t>
                  </w:r>
                  <w:r>
                    <w:rPr>
                      <w:rFonts w:ascii="宋体" w:hAnsi="宋体"/>
                      <w:sz w:val="18"/>
                      <w:szCs w:val="18"/>
                    </w:rPr>
                    <w:t>～</w:t>
                  </w:r>
                  <w:r>
                    <w:rPr>
                      <w:sz w:val="18"/>
                      <w:szCs w:val="18"/>
                    </w:rPr>
                    <w:t>9</w:t>
                  </w:r>
                </w:p>
              </w:tc>
            </w:tr>
          </w:tbl>
          <w:p>
            <w:pPr>
              <w:autoSpaceDE w:val="0"/>
              <w:autoSpaceDN w:val="0"/>
              <w:adjustRightInd w:val="0"/>
              <w:snapToGrid w:val="0"/>
              <w:spacing w:line="400" w:lineRule="exact"/>
              <w:ind w:firstLine="420" w:firstLineChars="200"/>
              <w:jc w:val="left"/>
              <w:rPr>
                <w:kern w:val="0"/>
                <w:szCs w:val="21"/>
              </w:rPr>
            </w:pPr>
            <w:r>
              <w:rPr>
                <w:kern w:val="0"/>
                <w:szCs w:val="21"/>
              </w:rPr>
              <w:t>3. 噪声</w:t>
            </w:r>
          </w:p>
          <w:p>
            <w:pPr>
              <w:autoSpaceDE w:val="0"/>
              <w:autoSpaceDN w:val="0"/>
              <w:adjustRightInd w:val="0"/>
              <w:snapToGrid w:val="0"/>
              <w:spacing w:line="400" w:lineRule="exact"/>
              <w:ind w:firstLine="420" w:firstLineChars="200"/>
              <w:jc w:val="center"/>
              <w:rPr>
                <w:kern w:val="0"/>
                <w:szCs w:val="21"/>
              </w:rPr>
            </w:pPr>
            <w:r>
              <w:rPr>
                <w:kern w:val="0"/>
                <w:szCs w:val="21"/>
              </w:rPr>
              <w:t>施工期执行《建筑施工场界环境噪声排放标准》(GBl2523－2011)表1中的排放限值。LAeq：昼间&lt;70</w:t>
            </w:r>
            <w:r>
              <w:rPr>
                <w:szCs w:val="21"/>
              </w:rPr>
              <w:t>dB(A)</w:t>
            </w:r>
            <w:r>
              <w:rPr>
                <w:kern w:val="0"/>
                <w:szCs w:val="21"/>
              </w:rPr>
              <w:t xml:space="preserve">     夜间&lt;55</w:t>
            </w:r>
            <w:r>
              <w:rPr>
                <w:szCs w:val="21"/>
              </w:rPr>
              <w:t>dB(A)</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营运期</w:t>
            </w:r>
            <w:r>
              <w:rPr>
                <w:kern w:val="0"/>
              </w:rPr>
              <w:t>项目四周厂界</w:t>
            </w:r>
            <w:r>
              <w:rPr>
                <w:rFonts w:ascii="宋体" w:hAnsi="宋体"/>
                <w:kern w:val="0"/>
              </w:rPr>
              <w:t>执行《工业企业厂界环境噪声排放标准》（</w:t>
            </w:r>
            <w:r>
              <w:rPr>
                <w:kern w:val="0"/>
              </w:rPr>
              <w:t>GBl2348-2008</w:t>
            </w:r>
            <w:r>
              <w:rPr>
                <w:rFonts w:ascii="宋体" w:hAnsi="宋体"/>
                <w:kern w:val="0"/>
              </w:rPr>
              <w:t>）</w:t>
            </w:r>
            <w:r>
              <w:rPr>
                <w:kern w:val="0"/>
              </w:rPr>
              <w:t>2</w:t>
            </w:r>
            <w:r>
              <w:rPr>
                <w:rFonts w:ascii="宋体" w:hAnsi="宋体"/>
                <w:kern w:val="0"/>
              </w:rPr>
              <w:t>类标准；</w:t>
            </w:r>
          </w:p>
          <w:p>
            <w:pPr>
              <w:autoSpaceDE w:val="0"/>
              <w:autoSpaceDN w:val="0"/>
              <w:adjustRightInd w:val="0"/>
              <w:snapToGrid w:val="0"/>
              <w:spacing w:line="400" w:lineRule="exact"/>
              <w:ind w:firstLine="420" w:firstLineChars="200"/>
              <w:jc w:val="center"/>
              <w:rPr>
                <w:rFonts w:ascii="宋体" w:hAnsi="宋体"/>
                <w:kern w:val="0"/>
              </w:rPr>
            </w:pPr>
            <w:r>
              <w:rPr>
                <w:kern w:val="0"/>
              </w:rPr>
              <w:t>LAeq</w:t>
            </w:r>
            <w:r>
              <w:rPr>
                <w:rFonts w:ascii="宋体" w:hAnsi="宋体"/>
                <w:kern w:val="0"/>
              </w:rPr>
              <w:t>：昼间</w:t>
            </w:r>
            <w:r>
              <w:rPr>
                <w:kern w:val="0"/>
              </w:rPr>
              <w:t>&lt;60dB</w:t>
            </w:r>
            <w:r>
              <w:rPr>
                <w:rFonts w:ascii="宋体" w:hAnsi="宋体"/>
                <w:kern w:val="0"/>
              </w:rPr>
              <w:t>（</w:t>
            </w:r>
            <w:r>
              <w:rPr>
                <w:kern w:val="0"/>
              </w:rPr>
              <w:t>A</w:t>
            </w:r>
            <w:r>
              <w:rPr>
                <w:rFonts w:ascii="宋体" w:hAnsi="宋体"/>
                <w:kern w:val="0"/>
              </w:rPr>
              <w:t>）</w:t>
            </w:r>
            <w:r>
              <w:rPr>
                <w:kern w:val="0"/>
              </w:rPr>
              <w:t xml:space="preserve">    </w:t>
            </w:r>
            <w:r>
              <w:rPr>
                <w:rFonts w:ascii="宋体" w:hAnsi="宋体"/>
                <w:kern w:val="0"/>
              </w:rPr>
              <w:t>夜间</w:t>
            </w:r>
            <w:r>
              <w:rPr>
                <w:kern w:val="0"/>
              </w:rPr>
              <w:t>&lt;50dB</w:t>
            </w:r>
            <w:r>
              <w:rPr>
                <w:rFonts w:ascii="宋体" w:hAnsi="宋体"/>
                <w:kern w:val="0"/>
              </w:rPr>
              <w:t>（</w:t>
            </w:r>
            <w:r>
              <w:rPr>
                <w:kern w:val="0"/>
              </w:rPr>
              <w:t>A</w:t>
            </w:r>
            <w:r>
              <w:rPr>
                <w:rFonts w:ascii="宋体" w:hAnsi="宋体"/>
                <w:kern w:val="0"/>
              </w:rPr>
              <w:t>）</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4</w:t>
            </w:r>
            <w:r>
              <w:rPr>
                <w:kern w:val="0"/>
                <w:szCs w:val="21"/>
              </w:rPr>
              <w:t>、固体废物</w:t>
            </w:r>
          </w:p>
          <w:p>
            <w:pPr>
              <w:autoSpaceDE w:val="0"/>
              <w:autoSpaceDN w:val="0"/>
              <w:adjustRightInd w:val="0"/>
              <w:snapToGrid w:val="0"/>
              <w:spacing w:line="380" w:lineRule="exact"/>
              <w:ind w:firstLine="420" w:firstLineChars="200"/>
              <w:jc w:val="left"/>
            </w:pPr>
            <w:r>
              <w:rPr>
                <w:rFonts w:hint="eastAsia" w:cs="宋体"/>
                <w:kern w:val="0"/>
                <w:szCs w:val="21"/>
              </w:rPr>
              <w:t>一般固体废物处置执行《一般工业固体废物贮存和填埋污染控制标准》（</w:t>
            </w:r>
            <w:r>
              <w:rPr>
                <w:rFonts w:cs="宋体"/>
                <w:kern w:val="0"/>
                <w:szCs w:val="21"/>
              </w:rPr>
              <w:t>GB18599-20</w:t>
            </w:r>
            <w:r>
              <w:rPr>
                <w:rFonts w:hint="eastAsia" w:cs="宋体"/>
                <w:kern w:val="0"/>
                <w:szCs w:val="21"/>
              </w:rPr>
              <w:t>20）的有关规定。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92"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p>
          <w:p>
            <w:pPr>
              <w:adjustRightInd w:val="0"/>
              <w:snapToGrid w:val="0"/>
              <w:jc w:val="center"/>
              <w:rPr>
                <w:kern w:val="0"/>
                <w:szCs w:val="21"/>
              </w:rPr>
            </w:pPr>
            <w:r>
              <w:rPr>
                <w:kern w:val="0"/>
                <w:szCs w:val="21"/>
              </w:rPr>
              <w:t>总量</w:t>
            </w:r>
          </w:p>
          <w:p>
            <w:pPr>
              <w:adjustRightInd w:val="0"/>
              <w:snapToGrid w:val="0"/>
              <w:jc w:val="center"/>
              <w:rPr>
                <w:kern w:val="0"/>
                <w:szCs w:val="21"/>
              </w:rPr>
            </w:pPr>
            <w:r>
              <w:rPr>
                <w:kern w:val="0"/>
                <w:szCs w:val="21"/>
              </w:rPr>
              <w:t>控制</w:t>
            </w:r>
          </w:p>
          <w:p>
            <w:pPr>
              <w:adjustRightInd w:val="0"/>
              <w:snapToGrid w:val="0"/>
              <w:jc w:val="center"/>
              <w:rPr>
                <w:kern w:val="0"/>
                <w:szCs w:val="21"/>
              </w:rPr>
            </w:pPr>
            <w:r>
              <w:rPr>
                <w:kern w:val="0"/>
                <w:szCs w:val="21"/>
              </w:rPr>
              <w:t>指标</w:t>
            </w: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c>
          <w:tcPr>
            <w:tcW w:w="8127"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380" w:lineRule="exact"/>
              <w:ind w:firstLine="420" w:firstLineChars="200"/>
              <w:jc w:val="left"/>
              <w:rPr>
                <w:rFonts w:cs="宋体"/>
                <w:kern w:val="0"/>
                <w:szCs w:val="21"/>
              </w:rPr>
            </w:pPr>
            <w:r>
              <w:rPr>
                <w:rFonts w:cs="宋体"/>
                <w:kern w:val="0"/>
                <w:szCs w:val="21"/>
              </w:rPr>
              <w:t>本项目锅炉废水最终进入东岳场镇污水处理厂处理后，达标排入双龙河，其废水总量指标在东岳场镇污水厂既有指标内调剂。</w:t>
            </w:r>
          </w:p>
          <w:p>
            <w:pPr>
              <w:autoSpaceDE w:val="0"/>
              <w:autoSpaceDN w:val="0"/>
              <w:adjustRightInd w:val="0"/>
              <w:snapToGrid w:val="0"/>
              <w:spacing w:line="380" w:lineRule="exact"/>
              <w:ind w:firstLine="420" w:firstLineChars="200"/>
              <w:jc w:val="left"/>
              <w:rPr>
                <w:rFonts w:cs="宋体"/>
                <w:kern w:val="0"/>
                <w:szCs w:val="21"/>
              </w:rPr>
            </w:pPr>
            <w:r>
              <w:rPr>
                <w:rFonts w:cs="宋体"/>
                <w:kern w:val="0"/>
                <w:szCs w:val="21"/>
              </w:rPr>
              <w:t>本项目</w:t>
            </w:r>
            <w:r>
              <w:rPr>
                <w:rFonts w:hint="eastAsia" w:cs="宋体"/>
                <w:kern w:val="0"/>
                <w:szCs w:val="21"/>
              </w:rPr>
              <w:t>燃气锅炉使用</w:t>
            </w:r>
            <w:r>
              <w:rPr>
                <w:rFonts w:cs="宋体"/>
                <w:kern w:val="0"/>
                <w:szCs w:val="21"/>
              </w:rPr>
              <w:t>过程会排放少量二氧化硫（SO</w:t>
            </w:r>
            <w:r>
              <w:rPr>
                <w:rFonts w:cs="宋体"/>
                <w:kern w:val="0"/>
                <w:szCs w:val="21"/>
                <w:vertAlign w:val="subscript"/>
              </w:rPr>
              <w:t>2</w:t>
            </w:r>
            <w:r>
              <w:rPr>
                <w:rFonts w:cs="宋体"/>
                <w:kern w:val="0"/>
                <w:szCs w:val="21"/>
              </w:rPr>
              <w:t>）、氮氧化物（NO</w:t>
            </w:r>
            <w:r>
              <w:rPr>
                <w:rFonts w:cs="宋体"/>
                <w:kern w:val="0"/>
                <w:szCs w:val="21"/>
                <w:vertAlign w:val="subscript"/>
              </w:rPr>
              <w:t>x</w:t>
            </w:r>
            <w:r>
              <w:rPr>
                <w:rFonts w:cs="宋体"/>
                <w:kern w:val="0"/>
                <w:szCs w:val="21"/>
              </w:rPr>
              <w:t>），排放量分别为0.0</w:t>
            </w:r>
            <w:r>
              <w:rPr>
                <w:rFonts w:hint="eastAsia" w:cs="宋体"/>
                <w:kern w:val="0"/>
                <w:szCs w:val="21"/>
              </w:rPr>
              <w:t>044</w:t>
            </w:r>
            <w:r>
              <w:rPr>
                <w:rFonts w:cs="宋体"/>
                <w:kern w:val="0"/>
                <w:szCs w:val="21"/>
              </w:rPr>
              <w:t>t/a</w:t>
            </w:r>
            <w:r>
              <w:rPr>
                <w:rFonts w:hint="eastAsia" w:cs="宋体"/>
                <w:kern w:val="0"/>
                <w:szCs w:val="21"/>
              </w:rPr>
              <w:t>、0.0525t/a</w:t>
            </w:r>
            <w:r>
              <w:rPr>
                <w:rFonts w:cs="宋体"/>
                <w:kern w:val="0"/>
                <w:szCs w:val="21"/>
              </w:rPr>
              <w:t>。</w:t>
            </w:r>
          </w:p>
          <w:p>
            <w:pPr>
              <w:autoSpaceDE w:val="0"/>
              <w:autoSpaceDN w:val="0"/>
              <w:adjustRightInd w:val="0"/>
              <w:snapToGrid w:val="0"/>
              <w:spacing w:line="380" w:lineRule="exact"/>
              <w:ind w:firstLine="420" w:firstLineChars="200"/>
              <w:jc w:val="left"/>
              <w:rPr>
                <w:rFonts w:cs="宋体"/>
                <w:kern w:val="0"/>
                <w:szCs w:val="21"/>
              </w:rPr>
            </w:pPr>
            <w:r>
              <w:rPr>
                <w:rFonts w:cs="宋体"/>
                <w:kern w:val="0"/>
                <w:szCs w:val="21"/>
              </w:rPr>
              <w:t>因此，本项目涉及大气总量控制指标由当地生态环境部门确认后下达。</w:t>
            </w:r>
          </w:p>
          <w:p>
            <w:pPr>
              <w:autoSpaceDE w:val="0"/>
              <w:autoSpaceDN w:val="0"/>
              <w:adjustRightInd w:val="0"/>
              <w:snapToGrid w:val="0"/>
              <w:spacing w:line="380" w:lineRule="exact"/>
              <w:ind w:firstLine="420" w:firstLineChars="200"/>
              <w:jc w:val="left"/>
              <w:rPr>
                <w:rFonts w:cs="宋体"/>
                <w:kern w:val="0"/>
                <w:szCs w:val="21"/>
              </w:rPr>
            </w:pPr>
          </w:p>
          <w:p>
            <w:pPr>
              <w:autoSpaceDE w:val="0"/>
              <w:autoSpaceDN w:val="0"/>
              <w:adjustRightInd w:val="0"/>
              <w:snapToGrid w:val="0"/>
              <w:spacing w:line="380" w:lineRule="exact"/>
              <w:ind w:firstLine="420" w:firstLineChars="200"/>
              <w:jc w:val="left"/>
              <w:rPr>
                <w:rFonts w:cs="宋体"/>
                <w:kern w:val="0"/>
                <w:szCs w:val="21"/>
              </w:rPr>
            </w:pPr>
          </w:p>
          <w:p>
            <w:pPr>
              <w:autoSpaceDE w:val="0"/>
              <w:autoSpaceDN w:val="0"/>
              <w:adjustRightInd w:val="0"/>
              <w:snapToGrid w:val="0"/>
              <w:spacing w:line="380" w:lineRule="exact"/>
              <w:ind w:firstLine="420" w:firstLineChars="200"/>
              <w:jc w:val="left"/>
              <w:rPr>
                <w:rFonts w:cs="宋体"/>
                <w:kern w:val="0"/>
                <w:szCs w:val="21"/>
              </w:rPr>
            </w:pPr>
          </w:p>
          <w:p>
            <w:pPr>
              <w:autoSpaceDE w:val="0"/>
              <w:autoSpaceDN w:val="0"/>
              <w:adjustRightInd w:val="0"/>
              <w:snapToGrid w:val="0"/>
              <w:spacing w:line="380" w:lineRule="exact"/>
              <w:ind w:firstLine="420" w:firstLineChars="200"/>
              <w:jc w:val="left"/>
              <w:rPr>
                <w:rFonts w:cs="宋体"/>
                <w:kern w:val="0"/>
                <w:szCs w:val="21"/>
              </w:rPr>
            </w:pPr>
          </w:p>
          <w:p>
            <w:pPr>
              <w:autoSpaceDE w:val="0"/>
              <w:autoSpaceDN w:val="0"/>
              <w:adjustRightInd w:val="0"/>
              <w:snapToGrid w:val="0"/>
              <w:spacing w:line="380" w:lineRule="exact"/>
              <w:ind w:firstLine="420" w:firstLineChars="200"/>
              <w:jc w:val="left"/>
              <w:rPr>
                <w:rFonts w:cs="宋体"/>
                <w:kern w:val="0"/>
                <w:szCs w:val="21"/>
              </w:rPr>
            </w:pPr>
          </w:p>
          <w:p>
            <w:pPr>
              <w:autoSpaceDE w:val="0"/>
              <w:autoSpaceDN w:val="0"/>
              <w:adjustRightInd w:val="0"/>
              <w:snapToGrid w:val="0"/>
              <w:spacing w:line="380" w:lineRule="exact"/>
              <w:ind w:firstLine="420" w:firstLineChars="200"/>
              <w:jc w:val="left"/>
              <w:rPr>
                <w:rFonts w:cs="宋体"/>
                <w:kern w:val="0"/>
                <w:szCs w:val="21"/>
              </w:rPr>
            </w:pPr>
          </w:p>
          <w:p>
            <w:pPr>
              <w:autoSpaceDE w:val="0"/>
              <w:autoSpaceDN w:val="0"/>
              <w:adjustRightInd w:val="0"/>
              <w:snapToGrid w:val="0"/>
              <w:spacing w:line="380" w:lineRule="exact"/>
              <w:ind w:firstLine="420" w:firstLineChars="200"/>
              <w:jc w:val="lef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kern w:val="0"/>
          <w:sz w:val="36"/>
          <w:szCs w:val="36"/>
        </w:rPr>
        <w:br w:type="page"/>
      </w:r>
      <w:r>
        <w:rPr>
          <w:rFonts w:ascii="Times New Roman" w:hAnsi="Times New Roman" w:eastAsia="黑体" w:cs="Times New Roman"/>
          <w:snapToGrid w:val="0"/>
          <w:sz w:val="30"/>
          <w:szCs w:val="30"/>
        </w:rPr>
        <w:t>四、主要环境影响和保护措施</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1"/>
        <w:gridCol w:w="81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60" w:hRule="atLeast"/>
          <w:jc w:val="center"/>
        </w:trPr>
        <w:tc>
          <w:tcPr>
            <w:tcW w:w="741"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施工</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期环</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境保</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护措</w:t>
            </w:r>
          </w:p>
          <w:p>
            <w:pPr>
              <w:pStyle w:val="19"/>
              <w:adjustRightInd w:val="0"/>
              <w:snapToGrid w:val="0"/>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施</w:t>
            </w: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sz w:val="21"/>
                <w:szCs w:val="21"/>
              </w:rPr>
            </w:pPr>
          </w:p>
          <w:p>
            <w:pPr>
              <w:pStyle w:val="19"/>
              <w:adjustRightInd w:val="0"/>
              <w:snapToGrid w:val="0"/>
              <w:spacing w:before="0" w:beforeAutospacing="0" w:after="0" w:afterAutospacing="0"/>
              <w:jc w:val="center"/>
              <w:rPr>
                <w:rFonts w:ascii="Times New Roman" w:hAnsi="Times New Roman" w:cs="Times New Roman"/>
                <w:bCs/>
                <w:sz w:val="21"/>
                <w:szCs w:val="21"/>
              </w:rPr>
            </w:pPr>
          </w:p>
        </w:tc>
        <w:tc>
          <w:tcPr>
            <w:tcW w:w="8167"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eastAsia="黑体"/>
                <w:bCs/>
                <w:szCs w:val="21"/>
              </w:rPr>
            </w:pPr>
            <w:r>
              <w:rPr>
                <w:rFonts w:eastAsia="黑体"/>
                <w:bCs/>
                <w:szCs w:val="21"/>
              </w:rPr>
              <w:t>1、废气</w:t>
            </w:r>
          </w:p>
          <w:p>
            <w:pPr>
              <w:autoSpaceDE w:val="0"/>
              <w:autoSpaceDN w:val="0"/>
              <w:adjustRightInd w:val="0"/>
              <w:spacing w:line="400" w:lineRule="exact"/>
              <w:ind w:firstLine="422" w:firstLineChars="201"/>
              <w:jc w:val="left"/>
              <w:rPr>
                <w:szCs w:val="21"/>
              </w:rPr>
            </w:pPr>
            <w:r>
              <w:rPr>
                <w:rFonts w:hint="eastAsia"/>
                <w:szCs w:val="21"/>
              </w:rPr>
              <w:t>①施工期主要为场地整理全部为人工操作，产生的扬尘极少，通过加强管理，轻拿轻放等措施，施工扬尘不会对环境造成影响。</w:t>
            </w:r>
          </w:p>
          <w:p>
            <w:pPr>
              <w:autoSpaceDE w:val="0"/>
              <w:autoSpaceDN w:val="0"/>
              <w:adjustRightInd w:val="0"/>
              <w:spacing w:line="400" w:lineRule="exact"/>
              <w:ind w:firstLine="422" w:firstLineChars="201"/>
              <w:jc w:val="left"/>
              <w:rPr>
                <w:szCs w:val="21"/>
              </w:rPr>
            </w:pPr>
            <w:r>
              <w:rPr>
                <w:rFonts w:hint="eastAsia"/>
                <w:szCs w:val="21"/>
              </w:rPr>
              <w:t>②设备运输车辆进出项目区的时间短，且汽车数量很少，项目处于宽敞地带，少量废气将随大气扩散，基本上不会影响该区域大气环境质量。</w:t>
            </w:r>
          </w:p>
          <w:p>
            <w:pPr>
              <w:autoSpaceDE w:val="0"/>
              <w:autoSpaceDN w:val="0"/>
              <w:adjustRightInd w:val="0"/>
              <w:spacing w:line="400" w:lineRule="exact"/>
              <w:ind w:firstLine="422" w:firstLineChars="201"/>
              <w:jc w:val="left"/>
              <w:rPr>
                <w:szCs w:val="21"/>
              </w:rPr>
            </w:pPr>
            <w:r>
              <w:rPr>
                <w:rFonts w:hint="eastAsia"/>
                <w:szCs w:val="21"/>
              </w:rPr>
              <w:t>在施工期间采取有效的环保措施后，施工扬尘及汽车尾气等对区域环境空气质量不会产生响。</w:t>
            </w:r>
          </w:p>
          <w:p>
            <w:pPr>
              <w:autoSpaceDE w:val="0"/>
              <w:autoSpaceDN w:val="0"/>
              <w:adjustRightInd w:val="0"/>
              <w:snapToGrid w:val="0"/>
              <w:spacing w:line="400" w:lineRule="exact"/>
              <w:ind w:firstLine="420" w:firstLineChars="200"/>
              <w:jc w:val="left"/>
              <w:rPr>
                <w:rFonts w:eastAsia="黑体"/>
                <w:bCs/>
                <w:szCs w:val="21"/>
              </w:rPr>
            </w:pPr>
            <w:r>
              <w:rPr>
                <w:szCs w:val="21"/>
                <w:lang w:val="zh-CN"/>
              </w:rPr>
              <w:t>通过采取上述废气治理措施，项目施工期废气对周围环境影响较小。</w:t>
            </w:r>
          </w:p>
          <w:p>
            <w:pPr>
              <w:autoSpaceDE w:val="0"/>
              <w:autoSpaceDN w:val="0"/>
              <w:adjustRightInd w:val="0"/>
              <w:snapToGrid w:val="0"/>
              <w:spacing w:line="400" w:lineRule="exact"/>
              <w:jc w:val="left"/>
              <w:rPr>
                <w:rFonts w:eastAsia="黑体"/>
                <w:bCs/>
                <w:szCs w:val="21"/>
              </w:rPr>
            </w:pPr>
            <w:r>
              <w:rPr>
                <w:rFonts w:hint="eastAsia" w:eastAsia="黑体"/>
                <w:bCs/>
                <w:szCs w:val="21"/>
              </w:rPr>
              <w:t>2、废水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施工废水主要来源于各种设备的清洗废水，其主要污染物为SS。施工工人会产生少量的生活污水。场内少量设备清洗废水设置收集桶收集，静置沉淀后全部回用。</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②施工期生活污水利用公司已建的化粪池收集，排至污水厂处理。</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通过采取以上措施后，可避免施工废水对周围环境造成污染性影响。</w:t>
            </w:r>
          </w:p>
          <w:p>
            <w:pPr>
              <w:autoSpaceDE w:val="0"/>
              <w:autoSpaceDN w:val="0"/>
              <w:adjustRightInd w:val="0"/>
              <w:snapToGrid w:val="0"/>
              <w:spacing w:line="426" w:lineRule="exact"/>
              <w:jc w:val="left"/>
              <w:rPr>
                <w:rFonts w:eastAsia="黑体"/>
                <w:bCs/>
                <w:szCs w:val="21"/>
              </w:rPr>
            </w:pPr>
            <w:r>
              <w:rPr>
                <w:rFonts w:hint="eastAsia" w:eastAsia="黑体"/>
                <w:bCs/>
                <w:szCs w:val="21"/>
              </w:rPr>
              <w:t>3</w:t>
            </w:r>
            <w:r>
              <w:rPr>
                <w:rFonts w:eastAsia="黑体"/>
                <w:bCs/>
                <w:szCs w:val="21"/>
              </w:rPr>
              <w:t>、噪声</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施工期主要是设备安装噪声和运输车辆噪声，主要高噪声设备有电钻、吊车等产生的机械噪声源的强度在70～90dB(A）。建议采取以下控制措：</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①选用先进、噪声较低的环保型施工机械和设备，并及时维修保养，使机器设备处于良好的运行状态；坚持文明施工，降低人为噪声。</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②合理安排工期，尽量做到白天施工；对施工器具应该轻拿轻放，严禁抛掷。</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通过严格的施工管理和落实以上控制措施后，项目施工场界噪声能够满足《建筑施工场界环境噪声排放限值》（GB12523-2011）的相关要求。评价认为，项目施工活动不会对区域声环境质量造成污染性影响。</w:t>
            </w:r>
          </w:p>
          <w:p>
            <w:pPr>
              <w:autoSpaceDE w:val="0"/>
              <w:autoSpaceDN w:val="0"/>
              <w:adjustRightInd w:val="0"/>
              <w:snapToGrid w:val="0"/>
              <w:spacing w:line="426" w:lineRule="exact"/>
              <w:jc w:val="left"/>
              <w:rPr>
                <w:rFonts w:eastAsia="黑体"/>
                <w:bCs/>
                <w:szCs w:val="21"/>
              </w:rPr>
            </w:pPr>
            <w:r>
              <w:rPr>
                <w:rFonts w:hint="eastAsia" w:eastAsia="黑体"/>
                <w:bCs/>
                <w:szCs w:val="21"/>
              </w:rPr>
              <w:t>四、固体废物</w:t>
            </w:r>
          </w:p>
          <w:p>
            <w:pPr>
              <w:autoSpaceDE w:val="0"/>
              <w:autoSpaceDN w:val="0"/>
              <w:adjustRightInd w:val="0"/>
              <w:snapToGrid w:val="0"/>
              <w:spacing w:line="426" w:lineRule="exact"/>
              <w:ind w:firstLine="420" w:firstLineChars="200"/>
              <w:jc w:val="left"/>
              <w:rPr>
                <w:kern w:val="0"/>
                <w:szCs w:val="21"/>
              </w:rPr>
            </w:pPr>
            <w:r>
              <w:rPr>
                <w:kern w:val="0"/>
                <w:szCs w:val="21"/>
              </w:rPr>
              <w:t>施工期产生的固体废物主要有</w:t>
            </w:r>
            <w:r>
              <w:rPr>
                <w:rFonts w:hint="eastAsia"/>
                <w:kern w:val="0"/>
                <w:szCs w:val="21"/>
              </w:rPr>
              <w:t>清理的</w:t>
            </w:r>
            <w:r>
              <w:rPr>
                <w:kern w:val="0"/>
                <w:szCs w:val="21"/>
              </w:rPr>
              <w:t>建筑垃圾和废弃包装材料。</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①</w:t>
            </w:r>
            <w:r>
              <w:rPr>
                <w:kern w:val="0"/>
                <w:szCs w:val="21"/>
              </w:rPr>
              <w:t>施工中，对可以回收利用的（如废包装材料等）部分建筑垃圾应尽量集中收集，送到废品回收站回收利用。</w:t>
            </w:r>
            <w:r>
              <w:rPr>
                <w:rFonts w:hint="eastAsia"/>
                <w:kern w:val="0"/>
                <w:szCs w:val="21"/>
              </w:rPr>
              <w:t>不能回收利用</w:t>
            </w:r>
            <w:r>
              <w:rPr>
                <w:kern w:val="0"/>
                <w:szCs w:val="21"/>
              </w:rPr>
              <w:t>的建筑垃圾及时运出施工现场，可以外运至当地政府指定的弃土场，不会产生二次污染。</w:t>
            </w:r>
          </w:p>
          <w:p>
            <w:pPr>
              <w:autoSpaceDE w:val="0"/>
              <w:autoSpaceDN w:val="0"/>
              <w:adjustRightInd w:val="0"/>
              <w:snapToGrid w:val="0"/>
              <w:spacing w:line="426" w:lineRule="exact"/>
              <w:ind w:firstLine="420" w:firstLineChars="200"/>
              <w:jc w:val="left"/>
              <w:rPr>
                <w:kern w:val="0"/>
                <w:szCs w:val="21"/>
              </w:rPr>
            </w:pPr>
            <w:r>
              <w:rPr>
                <w:rFonts w:hint="eastAsia"/>
                <w:kern w:val="0"/>
                <w:szCs w:val="21"/>
              </w:rPr>
              <w:t>②施工期少量生活垃圾设置固定的垃圾桶收集，然后自行外运至场镇垃圾收集点，由环卫部门定期统一清理</w:t>
            </w:r>
            <w:r>
              <w:rPr>
                <w:kern w:val="0"/>
                <w:szCs w:val="21"/>
              </w:rPr>
              <w:t>，严禁乱堆乱扔。</w:t>
            </w:r>
          </w:p>
          <w:p>
            <w:pPr>
              <w:autoSpaceDE w:val="0"/>
              <w:autoSpaceDN w:val="0"/>
              <w:adjustRightInd w:val="0"/>
              <w:snapToGrid w:val="0"/>
              <w:spacing w:line="426" w:lineRule="exact"/>
              <w:ind w:firstLine="420" w:firstLineChars="200"/>
              <w:jc w:val="left"/>
              <w:rPr>
                <w:bCs/>
                <w:spacing w:val="-10"/>
                <w:szCs w:val="21"/>
              </w:rPr>
            </w:pPr>
            <w:r>
              <w:rPr>
                <w:kern w:val="0"/>
                <w:szCs w:val="21"/>
              </w:rP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741"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pStyle w:val="15"/>
            </w:pPr>
          </w:p>
          <w:p>
            <w:pPr>
              <w:pStyle w:val="15"/>
            </w:pPr>
          </w:p>
          <w:p>
            <w:pPr>
              <w:pStyle w:val="15"/>
            </w:pPr>
          </w:p>
          <w:p>
            <w:pPr>
              <w:pStyle w:val="15"/>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bCs/>
                <w:szCs w:val="21"/>
              </w:rPr>
            </w:pPr>
            <w:r>
              <w:rPr>
                <w:bCs/>
                <w:szCs w:val="21"/>
              </w:rPr>
              <w:t>措施</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adjustRightInd w:val="0"/>
              <w:snapToGrid w:val="0"/>
              <w:jc w:val="center"/>
              <w:rPr>
                <w:bCs/>
                <w:szCs w:val="21"/>
              </w:rPr>
            </w:pPr>
            <w:r>
              <w:rPr>
                <w:bCs/>
                <w:szCs w:val="21"/>
              </w:rPr>
              <w:t>运营</w:t>
            </w:r>
          </w:p>
          <w:p>
            <w:pPr>
              <w:adjustRightInd w:val="0"/>
              <w:snapToGrid w:val="0"/>
              <w:jc w:val="center"/>
              <w:rPr>
                <w:bCs/>
                <w:szCs w:val="21"/>
              </w:rPr>
            </w:pPr>
            <w:r>
              <w:rPr>
                <w:bCs/>
                <w:szCs w:val="21"/>
              </w:rPr>
              <w:t>期环</w:t>
            </w:r>
          </w:p>
          <w:p>
            <w:pPr>
              <w:adjustRightInd w:val="0"/>
              <w:snapToGrid w:val="0"/>
              <w:jc w:val="center"/>
              <w:rPr>
                <w:bCs/>
                <w:szCs w:val="21"/>
              </w:rPr>
            </w:pPr>
            <w:r>
              <w:rPr>
                <w:bCs/>
                <w:szCs w:val="21"/>
              </w:rPr>
              <w:t>境影</w:t>
            </w:r>
          </w:p>
          <w:p>
            <w:pPr>
              <w:adjustRightInd w:val="0"/>
              <w:snapToGrid w:val="0"/>
              <w:jc w:val="center"/>
              <w:rPr>
                <w:bCs/>
                <w:szCs w:val="21"/>
              </w:rPr>
            </w:pPr>
            <w:r>
              <w:rPr>
                <w:bCs/>
                <w:szCs w:val="21"/>
              </w:rPr>
              <w:t>响和</w:t>
            </w:r>
          </w:p>
          <w:p>
            <w:pPr>
              <w:adjustRightInd w:val="0"/>
              <w:snapToGrid w:val="0"/>
              <w:jc w:val="center"/>
              <w:rPr>
                <w:bCs/>
                <w:szCs w:val="21"/>
              </w:rPr>
            </w:pPr>
            <w:r>
              <w:rPr>
                <w:bCs/>
                <w:szCs w:val="21"/>
              </w:rPr>
              <w:t>保护</w:t>
            </w:r>
          </w:p>
          <w:p>
            <w:pPr>
              <w:adjustRightInd w:val="0"/>
              <w:snapToGrid w:val="0"/>
              <w:jc w:val="center"/>
              <w:rPr>
                <w:rFonts w:hint="eastAsia"/>
                <w:bCs/>
                <w:szCs w:val="21"/>
              </w:rPr>
            </w:pPr>
            <w:r>
              <w:rPr>
                <w:bCs/>
                <w:szCs w:val="21"/>
              </w:rPr>
              <w:t>措施</w:t>
            </w: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adjustRightInd w:val="0"/>
              <w:snapToGrid w:val="0"/>
              <w:jc w:val="center"/>
              <w:rPr>
                <w:rFonts w:hint="eastAsia"/>
                <w:bCs/>
                <w:szCs w:val="21"/>
              </w:rPr>
            </w:pPr>
          </w:p>
          <w:p>
            <w:pPr>
              <w:pStyle w:val="15"/>
            </w:pPr>
          </w:p>
          <w:p>
            <w:pPr>
              <w:pStyle w:val="15"/>
            </w:pPr>
          </w:p>
          <w:p>
            <w:pPr>
              <w:pStyle w:val="15"/>
            </w:pPr>
          </w:p>
          <w:p>
            <w:pPr>
              <w:pStyle w:val="15"/>
            </w:pPr>
          </w:p>
          <w:p>
            <w:pPr>
              <w:pStyle w:val="15"/>
              <w:spacing w:after="0" w:line="100" w:lineRule="exact"/>
            </w:pPr>
          </w:p>
          <w:p>
            <w:pPr>
              <w:pStyle w:val="15"/>
              <w:spacing w:after="0" w:line="100" w:lineRule="exact"/>
            </w:pPr>
          </w:p>
          <w:p>
            <w:pPr>
              <w:pStyle w:val="15"/>
              <w:spacing w:after="0" w:line="100" w:lineRule="exact"/>
            </w:pPr>
          </w:p>
        </w:tc>
        <w:tc>
          <w:tcPr>
            <w:tcW w:w="8167"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1、废气</w:t>
            </w:r>
          </w:p>
          <w:p>
            <w:pPr>
              <w:autoSpaceDE w:val="0"/>
              <w:autoSpaceDN w:val="0"/>
              <w:adjustRightInd w:val="0"/>
              <w:snapToGrid w:val="0"/>
              <w:spacing w:line="400" w:lineRule="exact"/>
              <w:ind w:firstLine="422" w:firstLineChars="200"/>
              <w:jc w:val="left"/>
              <w:rPr>
                <w:b/>
                <w:bCs/>
                <w:kern w:val="0"/>
              </w:rPr>
            </w:pPr>
            <w:r>
              <w:rPr>
                <w:rFonts w:ascii="宋体" w:hAnsi="宋体"/>
                <w:b/>
                <w:bCs/>
                <w:kern w:val="0"/>
              </w:rPr>
              <w:t>（</w:t>
            </w:r>
            <w:r>
              <w:rPr>
                <w:b/>
                <w:bCs/>
                <w:kern w:val="0"/>
              </w:rPr>
              <w:t>1</w:t>
            </w:r>
            <w:r>
              <w:rPr>
                <w:rFonts w:ascii="宋体" w:hAnsi="宋体"/>
                <w:b/>
                <w:bCs/>
                <w:kern w:val="0"/>
              </w:rPr>
              <w:t>）污染物产生环节及源强</w:t>
            </w:r>
          </w:p>
          <w:p>
            <w:pPr>
              <w:autoSpaceDE w:val="0"/>
              <w:autoSpaceDN w:val="0"/>
              <w:adjustRightInd w:val="0"/>
              <w:snapToGrid w:val="0"/>
              <w:spacing w:line="400" w:lineRule="exact"/>
              <w:ind w:firstLine="420" w:firstLineChars="200"/>
              <w:jc w:val="left"/>
              <w:rPr>
                <w:kern w:val="0"/>
              </w:rPr>
            </w:pPr>
            <w:r>
              <w:rPr>
                <w:rFonts w:ascii="宋体" w:hAnsi="宋体"/>
                <w:kern w:val="0"/>
              </w:rPr>
              <w:t>本次新建燃气锅炉采用三浦工业（</w:t>
            </w:r>
            <w:r>
              <w:rPr>
                <w:rFonts w:hint="eastAsia" w:ascii="宋体" w:hAnsi="宋体"/>
                <w:kern w:val="0"/>
              </w:rPr>
              <w:t>中国</w:t>
            </w:r>
            <w:r>
              <w:rPr>
                <w:rFonts w:ascii="宋体" w:hAnsi="宋体"/>
                <w:kern w:val="0"/>
              </w:rPr>
              <w:t>）有限公司的</w:t>
            </w:r>
            <w:r>
              <w:rPr>
                <w:kern w:val="0"/>
              </w:rPr>
              <w:t>CZI</w:t>
            </w:r>
            <w:r>
              <w:rPr>
                <w:rFonts w:ascii="宋体" w:hAnsi="宋体"/>
                <w:kern w:val="0"/>
              </w:rPr>
              <w:t>型多管式贯流式锅炉</w:t>
            </w:r>
            <w:r>
              <w:rPr>
                <w:rFonts w:hint="eastAsia" w:ascii="宋体" w:hAnsi="宋体"/>
                <w:kern w:val="0"/>
              </w:rPr>
              <w:t>成套</w:t>
            </w:r>
            <w:r>
              <w:rPr>
                <w:rFonts w:ascii="宋体" w:hAnsi="宋体"/>
                <w:kern w:val="0"/>
              </w:rPr>
              <w:t>设备，根据设备单位提供的锅炉设备参数，单台</w:t>
            </w:r>
            <w:r>
              <w:rPr>
                <w:kern w:val="0"/>
              </w:rPr>
              <w:t>LSS2.0-1.0-Q</w:t>
            </w:r>
            <w:r>
              <w:rPr>
                <w:rFonts w:ascii="宋体" w:hAnsi="宋体"/>
                <w:kern w:val="0"/>
              </w:rPr>
              <w:t>型</w:t>
            </w:r>
            <w:r>
              <w:rPr>
                <w:rFonts w:hint="eastAsia" w:ascii="宋体" w:hAnsi="宋体"/>
                <w:kern w:val="0"/>
              </w:rPr>
              <w:t>（内部型号：</w:t>
            </w:r>
            <w:r>
              <w:rPr>
                <w:kern w:val="0"/>
              </w:rPr>
              <w:t>CZT-</w:t>
            </w:r>
            <w:r>
              <w:rPr>
                <w:rFonts w:hint="eastAsia"/>
                <w:kern w:val="0"/>
              </w:rPr>
              <w:t>2</w:t>
            </w:r>
            <w:r>
              <w:rPr>
                <w:kern w:val="0"/>
              </w:rPr>
              <w:t>000GS</w:t>
            </w:r>
            <w:r>
              <w:rPr>
                <w:rFonts w:hint="eastAsia" w:ascii="宋体" w:hAnsi="宋体"/>
                <w:kern w:val="0"/>
              </w:rPr>
              <w:t>）</w:t>
            </w:r>
            <w:r>
              <w:rPr>
                <w:rFonts w:ascii="宋体" w:hAnsi="宋体"/>
                <w:kern w:val="0"/>
              </w:rPr>
              <w:t>锅炉的天然气消耗量为</w:t>
            </w:r>
            <w:r>
              <w:rPr>
                <w:rFonts w:hint="eastAsia"/>
                <w:kern w:val="0"/>
              </w:rPr>
              <w:t>154.0</w:t>
            </w:r>
            <w:r>
              <w:rPr>
                <w:kern w:val="0"/>
              </w:rPr>
              <w:t>m</w:t>
            </w:r>
            <w:r>
              <w:rPr>
                <w:kern w:val="0"/>
                <w:vertAlign w:val="superscript"/>
              </w:rPr>
              <w:t>3</w:t>
            </w:r>
            <w:r>
              <w:rPr>
                <w:kern w:val="0"/>
              </w:rPr>
              <w:t>/h。</w:t>
            </w:r>
            <w:r>
              <w:rPr>
                <w:rFonts w:ascii="宋体" w:hAnsi="宋体"/>
                <w:kern w:val="0"/>
              </w:rPr>
              <w:t>本项目锅炉年运行时间为</w:t>
            </w:r>
            <w:r>
              <w:rPr>
                <w:rFonts w:hint="eastAsia"/>
                <w:kern w:val="0"/>
              </w:rPr>
              <w:t>720</w:t>
            </w:r>
            <w:r>
              <w:rPr>
                <w:kern w:val="0"/>
              </w:rPr>
              <w:t>h</w:t>
            </w:r>
            <w:r>
              <w:rPr>
                <w:rFonts w:ascii="宋体" w:hAnsi="宋体"/>
                <w:kern w:val="0"/>
              </w:rPr>
              <w:t>，则本次新建</w:t>
            </w:r>
            <w:r>
              <w:rPr>
                <w:rFonts w:hint="eastAsia"/>
                <w:kern w:val="0"/>
              </w:rPr>
              <w:t>1</w:t>
            </w:r>
            <w:r>
              <w:rPr>
                <w:rFonts w:ascii="宋体" w:hAnsi="宋体"/>
                <w:kern w:val="0"/>
              </w:rPr>
              <w:t>台</w:t>
            </w:r>
            <w:r>
              <w:rPr>
                <w:rFonts w:hint="eastAsia"/>
                <w:kern w:val="0"/>
              </w:rPr>
              <w:t>2</w:t>
            </w:r>
            <w:r>
              <w:rPr>
                <w:kern w:val="0"/>
              </w:rPr>
              <w:t>t/h</w:t>
            </w:r>
            <w:r>
              <w:rPr>
                <w:rFonts w:ascii="宋体" w:hAnsi="宋体"/>
                <w:kern w:val="0"/>
              </w:rPr>
              <w:t>燃气蒸汽锅炉天然气消耗总量为</w:t>
            </w:r>
            <w:r>
              <w:rPr>
                <w:rFonts w:hint="eastAsia"/>
                <w:kern w:val="0"/>
              </w:rPr>
              <w:t>110880</w:t>
            </w:r>
            <w:r>
              <w:rPr>
                <w:kern w:val="0"/>
              </w:rPr>
              <w:t>m</w:t>
            </w:r>
            <w:r>
              <w:rPr>
                <w:kern w:val="0"/>
                <w:vertAlign w:val="superscript"/>
              </w:rPr>
              <w:t>3</w:t>
            </w:r>
            <w:r>
              <w:rPr>
                <w:kern w:val="0"/>
              </w:rPr>
              <w:t>/a</w:t>
            </w:r>
            <w:r>
              <w:rPr>
                <w:rFonts w:ascii="宋体" w:hAnsi="宋体"/>
                <w:kern w:val="0"/>
              </w:rPr>
              <w:t>。根据设备单位提供的资料显示，本次新建燃气锅炉拟配套</w:t>
            </w:r>
            <w:r>
              <w:rPr>
                <w:kern w:val="0"/>
              </w:rPr>
              <w:t>ZB-7W+FGR</w:t>
            </w:r>
            <w:r>
              <w:rPr>
                <w:rFonts w:ascii="宋体" w:hAnsi="宋体"/>
                <w:kern w:val="0"/>
              </w:rPr>
              <w:t>低氮燃烧器</w:t>
            </w:r>
            <w:r>
              <w:rPr>
                <w:rFonts w:hint="eastAsia" w:ascii="宋体" w:hAnsi="宋体"/>
                <w:kern w:val="0"/>
              </w:rPr>
              <w:t>。</w:t>
            </w:r>
            <w:r>
              <w:rPr>
                <w:rFonts w:ascii="宋体" w:hAnsi="宋体"/>
                <w:kern w:val="0"/>
              </w:rPr>
              <w:t>锅炉</w:t>
            </w:r>
            <w:r>
              <w:rPr>
                <w:rFonts w:hint="eastAsia" w:ascii="宋体" w:hAnsi="宋体"/>
                <w:kern w:val="0"/>
              </w:rPr>
              <w:t>废气污染物排放数据采用建设单位提供的监测报告，根据江苏苏诚环境检测技术有限公司出具的《</w:t>
            </w:r>
            <w:r>
              <w:rPr>
                <w:rFonts w:hint="eastAsia"/>
                <w:kern w:val="0"/>
              </w:rPr>
              <w:t xml:space="preserve">CZI-2000G </w:t>
            </w:r>
            <w:r>
              <w:rPr>
                <w:rFonts w:hint="eastAsia" w:ascii="宋体" w:hAnsi="宋体"/>
                <w:kern w:val="0"/>
              </w:rPr>
              <w:t>蒸汽锅炉环保性能测试监测报告》（</w:t>
            </w:r>
            <w:r>
              <w:rPr>
                <w:rFonts w:hint="eastAsia"/>
                <w:kern w:val="0"/>
              </w:rPr>
              <w:t>Q2014-030-1</w:t>
            </w:r>
            <w:r>
              <w:rPr>
                <w:rFonts w:hint="eastAsia" w:ascii="宋体" w:hAnsi="宋体"/>
                <w:kern w:val="0"/>
              </w:rPr>
              <w:t>）：经监测</w:t>
            </w:r>
            <w:r>
              <w:rPr>
                <w:rFonts w:hint="eastAsia"/>
                <w:kern w:val="0"/>
              </w:rPr>
              <w:t>CZI-2000G</w:t>
            </w:r>
            <w:r>
              <w:rPr>
                <w:rFonts w:hint="eastAsia" w:ascii="宋体" w:hAnsi="宋体"/>
                <w:kern w:val="0"/>
              </w:rPr>
              <w:t>蒸汽锅炉排放废气中烟尘、二氧化硫、氮氧化物排放浓度分别为</w:t>
            </w:r>
            <w:r>
              <w:rPr>
                <w:rFonts w:hint="eastAsia"/>
                <w:kern w:val="0"/>
              </w:rPr>
              <w:t>3.7mg/m</w:t>
            </w:r>
            <w:r>
              <w:rPr>
                <w:rFonts w:hint="eastAsia"/>
                <w:kern w:val="0"/>
                <w:vertAlign w:val="superscript"/>
              </w:rPr>
              <w:t>3</w:t>
            </w:r>
            <w:r>
              <w:rPr>
                <w:rFonts w:hint="eastAsia" w:ascii="宋体" w:hAnsi="宋体"/>
                <w:kern w:val="0"/>
              </w:rPr>
              <w:t>、未检出、</w:t>
            </w:r>
            <w:r>
              <w:rPr>
                <w:rFonts w:hint="eastAsia"/>
                <w:kern w:val="0"/>
              </w:rPr>
              <w:t>42mg/m</w:t>
            </w:r>
            <w:r>
              <w:rPr>
                <w:rFonts w:hint="eastAsia"/>
                <w:kern w:val="0"/>
                <w:vertAlign w:val="superscript"/>
              </w:rPr>
              <w:t>3</w:t>
            </w:r>
            <w:r>
              <w:rPr>
                <w:rFonts w:hint="eastAsia" w:ascii="宋体" w:hAnsi="宋体"/>
                <w:kern w:val="0"/>
              </w:rPr>
              <w:t>。</w:t>
            </w:r>
            <w:r>
              <w:rPr>
                <w:rFonts w:ascii="宋体" w:hAnsi="宋体"/>
                <w:kern w:val="0"/>
              </w:rPr>
              <w:t>根据</w:t>
            </w:r>
            <w:r>
              <w:rPr>
                <w:rFonts w:hint="eastAsia" w:ascii="宋体" w:hAnsi="宋体"/>
                <w:kern w:val="0"/>
              </w:rPr>
              <w:t>中国特种设备检测研究院出具的《</w:t>
            </w:r>
            <w:r>
              <w:rPr>
                <w:rFonts w:hint="eastAsia"/>
                <w:kern w:val="0"/>
              </w:rPr>
              <w:t>ZB-7W+FGR</w:t>
            </w:r>
            <w:r>
              <w:rPr>
                <w:rFonts w:hint="eastAsia" w:ascii="宋体" w:hAnsi="宋体"/>
                <w:kern w:val="0"/>
              </w:rPr>
              <w:t>低氮燃烧器型式试验报告》（</w:t>
            </w:r>
            <w:r>
              <w:rPr>
                <w:rFonts w:hint="eastAsia"/>
                <w:kern w:val="0"/>
              </w:rPr>
              <w:t>21X0075-XR01</w:t>
            </w:r>
            <w:r>
              <w:rPr>
                <w:rFonts w:hint="eastAsia" w:ascii="宋体" w:hAnsi="宋体"/>
                <w:kern w:val="0"/>
              </w:rPr>
              <w:t>）：经监测</w:t>
            </w:r>
            <w:r>
              <w:rPr>
                <w:rFonts w:hint="eastAsia"/>
                <w:kern w:val="0"/>
              </w:rPr>
              <w:t>CZI-2000G</w:t>
            </w:r>
            <w:r>
              <w:rPr>
                <w:rFonts w:hint="eastAsia" w:ascii="宋体" w:hAnsi="宋体"/>
                <w:kern w:val="0"/>
              </w:rPr>
              <w:t>蒸汽锅炉配套</w:t>
            </w:r>
            <w:r>
              <w:rPr>
                <w:rFonts w:hint="eastAsia"/>
                <w:kern w:val="0"/>
              </w:rPr>
              <w:t>ZB-7W+FGR</w:t>
            </w:r>
            <w:r>
              <w:rPr>
                <w:rFonts w:hint="eastAsia" w:ascii="宋体" w:hAnsi="宋体"/>
                <w:kern w:val="0"/>
              </w:rPr>
              <w:t>低氮燃烧器后，在最大输出热功率情况下，排放的烟气中一氧化碳、氮氧化物排放浓度分别为</w:t>
            </w:r>
            <w:r>
              <w:rPr>
                <w:rFonts w:hint="eastAsia"/>
                <w:kern w:val="0"/>
              </w:rPr>
              <w:t>8.17mg/m</w:t>
            </w:r>
            <w:r>
              <w:rPr>
                <w:rFonts w:hint="eastAsia"/>
                <w:kern w:val="0"/>
                <w:vertAlign w:val="superscript"/>
              </w:rPr>
              <w:t>3</w:t>
            </w:r>
            <w:r>
              <w:rPr>
                <w:rFonts w:hint="eastAsia" w:ascii="宋体" w:hAnsi="宋体"/>
                <w:kern w:val="0"/>
              </w:rPr>
              <w:t>、</w:t>
            </w:r>
            <w:r>
              <w:rPr>
                <w:rFonts w:hint="eastAsia"/>
                <w:kern w:val="0"/>
              </w:rPr>
              <w:t>43.94mg/m</w:t>
            </w:r>
            <w:r>
              <w:rPr>
                <w:rFonts w:hint="eastAsia"/>
                <w:kern w:val="0"/>
                <w:vertAlign w:val="superscript"/>
              </w:rPr>
              <w:t>3</w:t>
            </w:r>
            <w:r>
              <w:rPr>
                <w:rFonts w:hint="eastAsia" w:ascii="宋体" w:hAnsi="宋体"/>
                <w:kern w:val="0"/>
              </w:rPr>
              <w:t>。</w:t>
            </w:r>
          </w:p>
          <w:p>
            <w:pPr>
              <w:autoSpaceDE w:val="0"/>
              <w:autoSpaceDN w:val="0"/>
              <w:adjustRightInd w:val="0"/>
              <w:snapToGrid w:val="0"/>
              <w:spacing w:line="400" w:lineRule="exact"/>
              <w:ind w:firstLine="420" w:firstLineChars="200"/>
              <w:jc w:val="left"/>
              <w:rPr>
                <w:kern w:val="0"/>
              </w:rPr>
            </w:pPr>
            <w:r>
              <w:rPr>
                <w:rFonts w:hint="eastAsia" w:ascii="宋体" w:hAnsi="宋体"/>
                <w:kern w:val="0"/>
              </w:rPr>
              <w:t>工业废气量、二氧化硫产生系数</w:t>
            </w:r>
            <w:r>
              <w:rPr>
                <w:rFonts w:ascii="宋体" w:hAnsi="宋体"/>
                <w:kern w:val="0"/>
              </w:rPr>
              <w:t>参照《第</w:t>
            </w:r>
            <w:r>
              <w:rPr>
                <w:rFonts w:hint="eastAsia" w:ascii="宋体" w:hAnsi="宋体"/>
                <w:kern w:val="0"/>
              </w:rPr>
              <w:t>二</w:t>
            </w:r>
            <w:r>
              <w:rPr>
                <w:rFonts w:ascii="宋体" w:hAnsi="宋体"/>
                <w:kern w:val="0"/>
              </w:rPr>
              <w:t>次全国污染源普查工业污染源产排污系数手册》</w:t>
            </w:r>
            <w:r>
              <w:rPr>
                <w:rFonts w:hint="eastAsia" w:ascii="宋体" w:hAnsi="宋体"/>
                <w:kern w:val="0"/>
              </w:rPr>
              <w:t>中“</w:t>
            </w:r>
            <w:r>
              <w:rPr>
                <w:kern w:val="0"/>
              </w:rPr>
              <w:t>4430</w:t>
            </w:r>
            <w:r>
              <w:rPr>
                <w:rFonts w:ascii="宋体" w:hAnsi="宋体"/>
                <w:kern w:val="0"/>
              </w:rPr>
              <w:t>工业锅炉（热力生产和供应行业）产污系数表</w:t>
            </w:r>
            <w:r>
              <w:rPr>
                <w:kern w:val="0"/>
              </w:rPr>
              <w:t>-</w:t>
            </w:r>
            <w:r>
              <w:rPr>
                <w:rFonts w:ascii="宋体" w:hAnsi="宋体"/>
                <w:kern w:val="0"/>
              </w:rPr>
              <w:t>燃气工业锅炉</w:t>
            </w:r>
            <w:r>
              <w:rPr>
                <w:rFonts w:hint="eastAsia" w:ascii="宋体" w:hAnsi="宋体"/>
                <w:kern w:val="0"/>
              </w:rPr>
              <w:t>”核算。</w:t>
            </w:r>
            <w:r>
              <w:rPr>
                <w:rFonts w:ascii="宋体" w:hAnsi="宋体"/>
                <w:kern w:val="0"/>
              </w:rPr>
              <w:t>燃气锅炉</w:t>
            </w:r>
            <w:r>
              <w:rPr>
                <w:rFonts w:hint="eastAsia" w:ascii="宋体" w:hAnsi="宋体"/>
                <w:kern w:val="0"/>
              </w:rPr>
              <w:t>工业废气量</w:t>
            </w:r>
            <w:r>
              <w:rPr>
                <w:rFonts w:ascii="宋体" w:hAnsi="宋体"/>
                <w:kern w:val="0"/>
              </w:rPr>
              <w:t>产排污系数为</w:t>
            </w:r>
            <w:r>
              <w:rPr>
                <w:rFonts w:hint="eastAsia"/>
                <w:kern w:val="0"/>
              </w:rPr>
              <w:t>107753</w:t>
            </w:r>
            <w:r>
              <w:rPr>
                <w:kern w:val="0"/>
              </w:rPr>
              <w:t>Nm</w:t>
            </w:r>
            <w:r>
              <w:rPr>
                <w:kern w:val="0"/>
                <w:vertAlign w:val="superscript"/>
              </w:rPr>
              <w:t>3</w:t>
            </w:r>
            <w:r>
              <w:rPr>
                <w:kern w:val="0"/>
              </w:rPr>
              <w:t>/</w:t>
            </w:r>
            <w:r>
              <w:rPr>
                <w:rFonts w:ascii="宋体" w:hAnsi="宋体"/>
                <w:kern w:val="0"/>
              </w:rPr>
              <w:t>万</w:t>
            </w:r>
            <w:r>
              <w:rPr>
                <w:kern w:val="0"/>
              </w:rPr>
              <w:t>m</w:t>
            </w:r>
            <w:r>
              <w:rPr>
                <w:kern w:val="0"/>
                <w:vertAlign w:val="superscript"/>
              </w:rPr>
              <w:t>3</w:t>
            </w:r>
            <w:r>
              <w:rPr>
                <w:rFonts w:hint="eastAsia"/>
                <w:kern w:val="0"/>
              </w:rPr>
              <w:t>-</w:t>
            </w:r>
            <w:r>
              <w:rPr>
                <w:rFonts w:hint="eastAsia" w:ascii="宋体" w:hAnsi="宋体"/>
                <w:kern w:val="0"/>
              </w:rPr>
              <w:t>原料，</w:t>
            </w:r>
            <w:r>
              <w:rPr>
                <w:kern w:val="0"/>
              </w:rPr>
              <w:t>SO</w:t>
            </w:r>
            <w:r>
              <w:rPr>
                <w:kern w:val="0"/>
                <w:vertAlign w:val="subscript"/>
              </w:rPr>
              <w:t>2</w:t>
            </w:r>
            <w:r>
              <w:rPr>
                <w:rFonts w:ascii="宋体" w:hAnsi="宋体"/>
                <w:kern w:val="0"/>
              </w:rPr>
              <w:t>产排污系数为</w:t>
            </w:r>
            <w:r>
              <w:rPr>
                <w:rFonts w:hint="eastAsia"/>
                <w:kern w:val="0"/>
              </w:rPr>
              <w:t>0.02S kg</w:t>
            </w:r>
            <w:r>
              <w:rPr>
                <w:kern w:val="0"/>
              </w:rPr>
              <w:t>/</w:t>
            </w:r>
            <w:r>
              <w:rPr>
                <w:rFonts w:ascii="宋体" w:hAnsi="宋体"/>
                <w:kern w:val="0"/>
              </w:rPr>
              <w:t>万</w:t>
            </w:r>
            <w:r>
              <w:rPr>
                <w:kern w:val="0"/>
              </w:rPr>
              <w:t>m</w:t>
            </w:r>
            <w:r>
              <w:rPr>
                <w:kern w:val="0"/>
                <w:vertAlign w:val="superscript"/>
              </w:rPr>
              <w:t>3</w:t>
            </w:r>
            <w:r>
              <w:rPr>
                <w:rFonts w:hint="eastAsia" w:ascii="宋体" w:hAnsi="宋体"/>
                <w:kern w:val="0"/>
              </w:rPr>
              <w:t>。</w:t>
            </w:r>
            <w:r>
              <w:rPr>
                <w:rFonts w:ascii="宋体" w:hAnsi="宋体"/>
                <w:kern w:val="0"/>
              </w:rPr>
              <w:t>则本项目新建燃气蒸汽锅炉燃烧废气污染物产生量及产生浓度见</w:t>
            </w:r>
            <w:r>
              <w:rPr>
                <w:rFonts w:hint="eastAsia" w:ascii="宋体" w:hAnsi="宋体"/>
                <w:kern w:val="0"/>
              </w:rPr>
              <w:t>下表</w:t>
            </w:r>
            <w:r>
              <w:rPr>
                <w:rFonts w:ascii="宋体" w:hAnsi="宋体"/>
                <w:kern w:val="0"/>
              </w:rPr>
              <w:t>。</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 xml:space="preserve"> </w:t>
            </w:r>
            <w:r>
              <w:rPr>
                <w:rFonts w:ascii="黑体" w:hAnsi="黑体" w:eastAsia="黑体"/>
                <w:kern w:val="0"/>
                <w:sz w:val="20"/>
                <w:szCs w:val="20"/>
              </w:rPr>
              <w:t>表</w:t>
            </w:r>
            <w:r>
              <w:rPr>
                <w:rFonts w:hint="eastAsia" w:eastAsia="黑体"/>
                <w:kern w:val="0"/>
                <w:sz w:val="20"/>
                <w:szCs w:val="20"/>
              </w:rPr>
              <w:t xml:space="preserve">4-1 </w:t>
            </w:r>
            <w:r>
              <w:rPr>
                <w:rFonts w:eastAsia="黑体"/>
                <w:kern w:val="0"/>
                <w:sz w:val="20"/>
                <w:szCs w:val="20"/>
              </w:rPr>
              <w:t xml:space="preserve">  CZI</w:t>
            </w:r>
            <w:r>
              <w:rPr>
                <w:rFonts w:hint="eastAsia" w:ascii="黑体" w:hAnsi="黑体" w:eastAsia="黑体"/>
                <w:kern w:val="0"/>
                <w:sz w:val="20"/>
                <w:szCs w:val="20"/>
              </w:rPr>
              <w:t>贯流式</w:t>
            </w:r>
            <w:r>
              <w:rPr>
                <w:rFonts w:ascii="黑体" w:hAnsi="黑体" w:eastAsia="黑体"/>
                <w:kern w:val="0"/>
                <w:sz w:val="20"/>
                <w:szCs w:val="20"/>
              </w:rPr>
              <w:t>燃气锅炉燃烧废气污染物产生情况表</w:t>
            </w:r>
          </w:p>
          <w:tbl>
            <w:tblPr>
              <w:tblStyle w:val="21"/>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001"/>
              <w:gridCol w:w="697"/>
              <w:gridCol w:w="1790"/>
              <w:gridCol w:w="664"/>
              <w:gridCol w:w="824"/>
              <w:gridCol w:w="826"/>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90"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污染源</w:t>
                  </w:r>
                </w:p>
              </w:tc>
              <w:tc>
                <w:tcPr>
                  <w:tcW w:w="1001" w:type="dxa"/>
                  <w:vMerge w:val="restart"/>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耗天然气量</w:t>
                  </w:r>
                </w:p>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（万</w:t>
                  </w:r>
                  <w:r>
                    <w:rPr>
                      <w:b/>
                      <w:bCs/>
                      <w:sz w:val="18"/>
                      <w:szCs w:val="18"/>
                    </w:rPr>
                    <w:t>m</w:t>
                  </w:r>
                  <w:r>
                    <w:rPr>
                      <w:b/>
                      <w:bCs/>
                      <w:sz w:val="18"/>
                      <w:szCs w:val="18"/>
                      <w:vertAlign w:val="superscript"/>
                    </w:rPr>
                    <w:t>3</w:t>
                  </w:r>
                  <w:r>
                    <w:rPr>
                      <w:b/>
                      <w:bCs/>
                      <w:sz w:val="18"/>
                      <w:szCs w:val="18"/>
                    </w:rPr>
                    <w:t>/a</w:t>
                  </w:r>
                  <w:r>
                    <w:rPr>
                      <w:rFonts w:ascii="宋体" w:hAnsi="宋体"/>
                      <w:b/>
                      <w:bCs/>
                      <w:sz w:val="18"/>
                      <w:szCs w:val="18"/>
                    </w:rPr>
                    <w:t>）</w:t>
                  </w:r>
                </w:p>
              </w:tc>
              <w:tc>
                <w:tcPr>
                  <w:tcW w:w="4801" w:type="dxa"/>
                  <w:gridSpan w:val="5"/>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污染物</w:t>
                  </w:r>
                </w:p>
              </w:tc>
              <w:tc>
                <w:tcPr>
                  <w:tcW w:w="1467" w:type="dxa"/>
                  <w:vMerge w:val="restart"/>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《锅炉大气污染物排放标准》（</w:t>
                  </w:r>
                  <w:r>
                    <w:rPr>
                      <w:b/>
                      <w:bCs/>
                      <w:sz w:val="18"/>
                      <w:szCs w:val="18"/>
                    </w:rPr>
                    <w:t>GB13271-2014</w:t>
                  </w:r>
                  <w:r>
                    <w:rPr>
                      <w:rFonts w:ascii="宋体" w:hAnsi="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0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1001"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c>
                <w:tcPr>
                  <w:tcW w:w="69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种类</w:t>
                  </w:r>
                </w:p>
              </w:tc>
              <w:tc>
                <w:tcPr>
                  <w:tcW w:w="1790"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产生系数</w:t>
                  </w:r>
                </w:p>
              </w:tc>
              <w:tc>
                <w:tcPr>
                  <w:tcW w:w="664"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产生量（</w:t>
                  </w:r>
                  <w:r>
                    <w:rPr>
                      <w:rFonts w:hint="eastAsia"/>
                      <w:b/>
                      <w:bCs/>
                      <w:sz w:val="18"/>
                      <w:szCs w:val="18"/>
                    </w:rPr>
                    <w:t>t/a</w:t>
                  </w:r>
                  <w:r>
                    <w:rPr>
                      <w:rFonts w:hint="eastAsia" w:ascii="宋体" w:hAnsi="宋体"/>
                      <w:b/>
                      <w:bCs/>
                      <w:sz w:val="18"/>
                      <w:szCs w:val="18"/>
                    </w:rPr>
                    <w:t>）</w:t>
                  </w:r>
                </w:p>
              </w:tc>
              <w:tc>
                <w:tcPr>
                  <w:tcW w:w="824"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产生</w:t>
                  </w:r>
                  <w:r>
                    <w:rPr>
                      <w:rFonts w:ascii="宋体" w:hAnsi="宋体"/>
                      <w:b/>
                      <w:bCs/>
                      <w:sz w:val="18"/>
                      <w:szCs w:val="18"/>
                    </w:rPr>
                    <w:t>速率</w:t>
                  </w:r>
                  <w:r>
                    <w:rPr>
                      <w:rFonts w:hint="eastAsia" w:ascii="宋体" w:hAnsi="宋体"/>
                      <w:b/>
                      <w:bCs/>
                      <w:sz w:val="18"/>
                      <w:szCs w:val="18"/>
                    </w:rPr>
                    <w:t>（</w:t>
                  </w:r>
                  <w:r>
                    <w:rPr>
                      <w:rFonts w:hint="eastAsia"/>
                      <w:b/>
                      <w:bCs/>
                      <w:sz w:val="18"/>
                      <w:szCs w:val="18"/>
                    </w:rPr>
                    <w:t>kg/h</w:t>
                  </w:r>
                  <w:r>
                    <w:rPr>
                      <w:rFonts w:hint="eastAsia" w:ascii="宋体" w:hAnsi="宋体"/>
                      <w:b/>
                      <w:bCs/>
                      <w:sz w:val="18"/>
                      <w:szCs w:val="18"/>
                    </w:rPr>
                    <w:t>）</w:t>
                  </w:r>
                </w:p>
              </w:tc>
              <w:tc>
                <w:tcPr>
                  <w:tcW w:w="826"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产生</w:t>
                  </w:r>
                  <w:r>
                    <w:rPr>
                      <w:rFonts w:ascii="宋体" w:hAnsi="宋体"/>
                      <w:b/>
                      <w:bCs/>
                      <w:sz w:val="18"/>
                      <w:szCs w:val="18"/>
                    </w:rPr>
                    <w:t>浓度</w:t>
                  </w:r>
                  <w:r>
                    <w:rPr>
                      <w:rFonts w:hint="eastAsia" w:ascii="宋体" w:hAnsi="宋体"/>
                      <w:b/>
                      <w:bCs/>
                      <w:sz w:val="18"/>
                      <w:szCs w:val="18"/>
                    </w:rPr>
                    <w:t>（</w:t>
                  </w:r>
                  <w:r>
                    <w:rPr>
                      <w:b/>
                      <w:bCs/>
                      <w:sz w:val="18"/>
                      <w:szCs w:val="18"/>
                    </w:rPr>
                    <w:t>mg/m</w:t>
                  </w:r>
                  <w:r>
                    <w:rPr>
                      <w:b/>
                      <w:bCs/>
                      <w:sz w:val="18"/>
                      <w:szCs w:val="18"/>
                      <w:vertAlign w:val="superscript"/>
                    </w:rPr>
                    <w:t>3</w:t>
                  </w:r>
                  <w:r>
                    <w:rPr>
                      <w:rFonts w:hint="eastAsia" w:ascii="宋体" w:hAnsi="宋体"/>
                      <w:b/>
                      <w:bCs/>
                      <w:sz w:val="18"/>
                      <w:szCs w:val="18"/>
                    </w:rPr>
                    <w:t>）</w:t>
                  </w:r>
                </w:p>
              </w:tc>
              <w:tc>
                <w:tcPr>
                  <w:tcW w:w="1467"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90"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CZI</w:t>
                  </w:r>
                  <w:r>
                    <w:rPr>
                      <w:rFonts w:hint="eastAsia" w:ascii="宋体" w:hAnsi="宋体"/>
                      <w:sz w:val="18"/>
                      <w:szCs w:val="18"/>
                    </w:rPr>
                    <w:t>贯流式</w:t>
                  </w:r>
                  <w:r>
                    <w:rPr>
                      <w:rFonts w:ascii="宋体" w:hAnsi="宋体"/>
                      <w:sz w:val="18"/>
                      <w:szCs w:val="18"/>
                    </w:rPr>
                    <w:t>燃气锅炉</w:t>
                  </w:r>
                </w:p>
              </w:tc>
              <w:tc>
                <w:tcPr>
                  <w:tcW w:w="1001" w:type="dxa"/>
                  <w:vMerge w:val="restart"/>
                  <w:tcBorders>
                    <w:top w:val="nil"/>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11.1</w:t>
                  </w:r>
                </w:p>
              </w:tc>
              <w:tc>
                <w:tcPr>
                  <w:tcW w:w="69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ascii="宋体" w:hAnsi="宋体"/>
                      <w:sz w:val="18"/>
                      <w:szCs w:val="18"/>
                    </w:rPr>
                    <w:t>烟气量</w:t>
                  </w:r>
                </w:p>
              </w:tc>
              <w:tc>
                <w:tcPr>
                  <w:tcW w:w="1790"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107753Nm</w:t>
                  </w:r>
                  <w:r>
                    <w:rPr>
                      <w:rFonts w:hint="eastAsia"/>
                      <w:sz w:val="18"/>
                      <w:szCs w:val="18"/>
                      <w:vertAlign w:val="superscript"/>
                    </w:rPr>
                    <w:t>3</w:t>
                  </w:r>
                  <w:r>
                    <w:rPr>
                      <w:rFonts w:hint="eastAsia"/>
                      <w:sz w:val="18"/>
                      <w:szCs w:val="18"/>
                    </w:rPr>
                    <w:t>/</w:t>
                  </w:r>
                  <w:r>
                    <w:rPr>
                      <w:rFonts w:hint="eastAsia" w:ascii="宋体" w:hAnsi="宋体"/>
                      <w:sz w:val="18"/>
                      <w:szCs w:val="18"/>
                    </w:rPr>
                    <w:t>万</w:t>
                  </w:r>
                  <w:r>
                    <w:rPr>
                      <w:rFonts w:hint="eastAsia"/>
                      <w:sz w:val="18"/>
                      <w:szCs w:val="18"/>
                    </w:rPr>
                    <w:t>m</w:t>
                  </w:r>
                  <w:r>
                    <w:rPr>
                      <w:rFonts w:hint="eastAsia"/>
                      <w:sz w:val="18"/>
                      <w:szCs w:val="18"/>
                      <w:vertAlign w:val="superscript"/>
                    </w:rPr>
                    <w:t>3</w:t>
                  </w:r>
                  <w:r>
                    <w:rPr>
                      <w:rFonts w:hint="eastAsia"/>
                      <w:sz w:val="18"/>
                      <w:szCs w:val="18"/>
                    </w:rPr>
                    <w:t>-</w:t>
                  </w:r>
                  <w:r>
                    <w:rPr>
                      <w:rFonts w:hint="eastAsia" w:ascii="宋体" w:hAnsi="宋体"/>
                      <w:sz w:val="18"/>
                      <w:szCs w:val="18"/>
                    </w:rPr>
                    <w:t>原料</w:t>
                  </w:r>
                </w:p>
              </w:tc>
              <w:tc>
                <w:tcPr>
                  <w:tcW w:w="2314" w:type="dxa"/>
                  <w:gridSpan w:val="3"/>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119.6</w:t>
                  </w:r>
                  <w:r>
                    <w:rPr>
                      <w:rFonts w:hint="eastAsia" w:ascii="宋体" w:hAnsi="宋体"/>
                      <w:sz w:val="18"/>
                      <w:szCs w:val="18"/>
                    </w:rPr>
                    <w:t>万</w:t>
                  </w:r>
                  <w:r>
                    <w:rPr>
                      <w:rFonts w:hint="eastAsia"/>
                      <w:sz w:val="18"/>
                      <w:szCs w:val="18"/>
                    </w:rPr>
                    <w:t>Nm</w:t>
                  </w:r>
                  <w:r>
                    <w:rPr>
                      <w:rFonts w:hint="eastAsia"/>
                      <w:sz w:val="18"/>
                      <w:szCs w:val="18"/>
                      <w:vertAlign w:val="superscript"/>
                    </w:rPr>
                    <w:t>3</w:t>
                  </w:r>
                </w:p>
              </w:tc>
              <w:tc>
                <w:tcPr>
                  <w:tcW w:w="146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59"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1001" w:type="dxa"/>
                  <w:vMerge w:val="continue"/>
                  <w:tcBorders>
                    <w:top w:val="nil"/>
                    <w:left w:val="nil"/>
                    <w:bottom w:val="single" w:color="auto" w:sz="4" w:space="0"/>
                    <w:right w:val="single" w:color="auto" w:sz="4" w:space="0"/>
                  </w:tcBorders>
                  <w:vAlign w:val="center"/>
                </w:tcPr>
                <w:p>
                  <w:pPr>
                    <w:widowControl/>
                    <w:jc w:val="left"/>
                    <w:rPr>
                      <w:sz w:val="18"/>
                      <w:szCs w:val="18"/>
                    </w:rPr>
                  </w:pPr>
                </w:p>
              </w:tc>
              <w:tc>
                <w:tcPr>
                  <w:tcW w:w="69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sz w:val="18"/>
                      <w:szCs w:val="18"/>
                    </w:rPr>
                    <w:t>SO</w:t>
                  </w:r>
                  <w:r>
                    <w:rPr>
                      <w:sz w:val="18"/>
                      <w:szCs w:val="18"/>
                      <w:vertAlign w:val="subscript"/>
                    </w:rPr>
                    <w:t>2</w:t>
                  </w:r>
                </w:p>
              </w:tc>
              <w:tc>
                <w:tcPr>
                  <w:tcW w:w="1790"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0.02S* kg/</w:t>
                  </w:r>
                  <w:r>
                    <w:rPr>
                      <w:rFonts w:hint="eastAsia" w:ascii="宋体" w:hAnsi="宋体"/>
                      <w:sz w:val="18"/>
                      <w:szCs w:val="18"/>
                    </w:rPr>
                    <w:t>万</w:t>
                  </w:r>
                  <w:r>
                    <w:rPr>
                      <w:rFonts w:hint="eastAsia"/>
                      <w:sz w:val="18"/>
                      <w:szCs w:val="18"/>
                    </w:rPr>
                    <w:t>m</w:t>
                  </w:r>
                  <w:r>
                    <w:rPr>
                      <w:rFonts w:hint="eastAsia"/>
                      <w:sz w:val="18"/>
                      <w:szCs w:val="18"/>
                      <w:vertAlign w:val="superscript"/>
                    </w:rPr>
                    <w:t>3</w:t>
                  </w:r>
                  <w:r>
                    <w:rPr>
                      <w:rFonts w:hint="eastAsia"/>
                      <w:sz w:val="18"/>
                      <w:szCs w:val="18"/>
                    </w:rPr>
                    <w:t>-</w:t>
                  </w:r>
                  <w:r>
                    <w:rPr>
                      <w:rFonts w:hint="eastAsia" w:ascii="宋体" w:hAnsi="宋体"/>
                      <w:sz w:val="18"/>
                      <w:szCs w:val="18"/>
                    </w:rPr>
                    <w:t>原料</w:t>
                  </w:r>
                </w:p>
              </w:tc>
              <w:tc>
                <w:tcPr>
                  <w:tcW w:w="664"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0.0044</w:t>
                  </w:r>
                </w:p>
              </w:tc>
              <w:tc>
                <w:tcPr>
                  <w:tcW w:w="824"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0.0061</w:t>
                  </w:r>
                </w:p>
              </w:tc>
              <w:tc>
                <w:tcPr>
                  <w:tcW w:w="826"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3.679</w:t>
                  </w:r>
                </w:p>
              </w:tc>
              <w:tc>
                <w:tcPr>
                  <w:tcW w:w="146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59"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1001" w:type="dxa"/>
                  <w:vMerge w:val="continue"/>
                  <w:tcBorders>
                    <w:top w:val="nil"/>
                    <w:left w:val="nil"/>
                    <w:bottom w:val="single" w:color="auto" w:sz="4" w:space="0"/>
                    <w:right w:val="single" w:color="auto" w:sz="4" w:space="0"/>
                  </w:tcBorders>
                  <w:vAlign w:val="center"/>
                </w:tcPr>
                <w:p>
                  <w:pPr>
                    <w:widowControl/>
                    <w:jc w:val="left"/>
                    <w:rPr>
                      <w:sz w:val="18"/>
                      <w:szCs w:val="18"/>
                    </w:rPr>
                  </w:pPr>
                </w:p>
              </w:tc>
              <w:tc>
                <w:tcPr>
                  <w:tcW w:w="69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sz w:val="18"/>
                      <w:szCs w:val="18"/>
                    </w:rPr>
                    <w:t>NO</w:t>
                  </w:r>
                  <w:r>
                    <w:rPr>
                      <w:sz w:val="18"/>
                      <w:szCs w:val="18"/>
                      <w:vertAlign w:val="subscript"/>
                    </w:rPr>
                    <w:t>x</w:t>
                  </w:r>
                </w:p>
              </w:tc>
              <w:tc>
                <w:tcPr>
                  <w:tcW w:w="1790"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kern w:val="0"/>
                      <w:sz w:val="18"/>
                      <w:szCs w:val="18"/>
                    </w:rPr>
                    <w:t>43.94mg/m</w:t>
                  </w:r>
                  <w:r>
                    <w:rPr>
                      <w:rFonts w:hint="eastAsia"/>
                      <w:kern w:val="0"/>
                      <w:sz w:val="18"/>
                      <w:szCs w:val="18"/>
                      <w:vertAlign w:val="superscript"/>
                    </w:rPr>
                    <w:t>3</w:t>
                  </w:r>
                  <w:r>
                    <w:rPr>
                      <w:rFonts w:hint="eastAsia"/>
                      <w:sz w:val="18"/>
                      <w:szCs w:val="18"/>
                    </w:rPr>
                    <w:t>-</w:t>
                  </w:r>
                  <w:r>
                    <w:rPr>
                      <w:rFonts w:hint="eastAsia" w:ascii="宋体" w:hAnsi="宋体"/>
                      <w:sz w:val="18"/>
                      <w:szCs w:val="18"/>
                    </w:rPr>
                    <w:t>烟气</w:t>
                  </w:r>
                </w:p>
              </w:tc>
              <w:tc>
                <w:tcPr>
                  <w:tcW w:w="664" w:type="dxa"/>
                  <w:tcBorders>
                    <w:top w:val="single" w:color="auto" w:sz="4" w:space="0"/>
                    <w:left w:val="nil"/>
                    <w:bottom w:val="single" w:color="auto" w:sz="4" w:space="0"/>
                    <w:right w:val="single" w:color="auto" w:sz="4" w:space="0"/>
                  </w:tcBorders>
                  <w:vAlign w:val="bottom"/>
                </w:tcPr>
                <w:p>
                  <w:pPr>
                    <w:autoSpaceDE w:val="0"/>
                    <w:adjustRightInd w:val="0"/>
                    <w:snapToGrid w:val="0"/>
                    <w:spacing w:line="280" w:lineRule="exact"/>
                    <w:ind w:left="-105" w:leftChars="-50" w:right="-105" w:rightChars="-50"/>
                    <w:jc w:val="center"/>
                    <w:rPr>
                      <w:sz w:val="18"/>
                      <w:szCs w:val="18"/>
                    </w:rPr>
                  </w:pPr>
                  <w:r>
                    <w:rPr>
                      <w:rFonts w:hint="eastAsia"/>
                      <w:sz w:val="18"/>
                      <w:szCs w:val="18"/>
                    </w:rPr>
                    <w:t>0.0525</w:t>
                  </w:r>
                </w:p>
              </w:tc>
              <w:tc>
                <w:tcPr>
                  <w:tcW w:w="824" w:type="dxa"/>
                  <w:tcBorders>
                    <w:top w:val="single" w:color="auto" w:sz="4" w:space="0"/>
                    <w:left w:val="nil"/>
                    <w:bottom w:val="single" w:color="auto" w:sz="4" w:space="0"/>
                    <w:right w:val="single" w:color="auto" w:sz="4" w:space="0"/>
                  </w:tcBorders>
                  <w:vAlign w:val="bottom"/>
                </w:tcPr>
                <w:p>
                  <w:pPr>
                    <w:autoSpaceDE w:val="0"/>
                    <w:adjustRightInd w:val="0"/>
                    <w:snapToGrid w:val="0"/>
                    <w:spacing w:line="280" w:lineRule="exact"/>
                    <w:ind w:left="-105" w:leftChars="-50" w:right="-105" w:rightChars="-50"/>
                    <w:jc w:val="center"/>
                    <w:rPr>
                      <w:sz w:val="18"/>
                      <w:szCs w:val="18"/>
                    </w:rPr>
                  </w:pPr>
                  <w:r>
                    <w:rPr>
                      <w:rFonts w:hint="eastAsia"/>
                      <w:sz w:val="18"/>
                      <w:szCs w:val="18"/>
                    </w:rPr>
                    <w:t>0.073</w:t>
                  </w:r>
                </w:p>
              </w:tc>
              <w:tc>
                <w:tcPr>
                  <w:tcW w:w="826"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43.94</w:t>
                  </w:r>
                </w:p>
              </w:tc>
              <w:tc>
                <w:tcPr>
                  <w:tcW w:w="146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59"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1001" w:type="dxa"/>
                  <w:vMerge w:val="continue"/>
                  <w:tcBorders>
                    <w:top w:val="nil"/>
                    <w:left w:val="nil"/>
                    <w:bottom w:val="single" w:color="auto" w:sz="4" w:space="0"/>
                    <w:right w:val="single" w:color="auto" w:sz="4" w:space="0"/>
                  </w:tcBorders>
                  <w:vAlign w:val="center"/>
                </w:tcPr>
                <w:p>
                  <w:pPr>
                    <w:widowControl/>
                    <w:jc w:val="left"/>
                    <w:rPr>
                      <w:sz w:val="18"/>
                      <w:szCs w:val="18"/>
                    </w:rPr>
                  </w:pPr>
                </w:p>
              </w:tc>
              <w:tc>
                <w:tcPr>
                  <w:tcW w:w="69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CO</w:t>
                  </w:r>
                </w:p>
              </w:tc>
              <w:tc>
                <w:tcPr>
                  <w:tcW w:w="1790"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kern w:val="0"/>
                      <w:sz w:val="18"/>
                      <w:szCs w:val="18"/>
                    </w:rPr>
                  </w:pPr>
                  <w:r>
                    <w:rPr>
                      <w:rFonts w:hint="eastAsia"/>
                      <w:kern w:val="0"/>
                      <w:sz w:val="18"/>
                      <w:szCs w:val="18"/>
                    </w:rPr>
                    <w:t>8.17mg/m</w:t>
                  </w:r>
                  <w:r>
                    <w:rPr>
                      <w:rFonts w:hint="eastAsia"/>
                      <w:kern w:val="0"/>
                      <w:sz w:val="18"/>
                      <w:szCs w:val="18"/>
                      <w:vertAlign w:val="superscript"/>
                    </w:rPr>
                    <w:t>3</w:t>
                  </w:r>
                  <w:r>
                    <w:rPr>
                      <w:rFonts w:hint="eastAsia"/>
                      <w:sz w:val="18"/>
                      <w:szCs w:val="18"/>
                    </w:rPr>
                    <w:t>-</w:t>
                  </w:r>
                  <w:r>
                    <w:rPr>
                      <w:rFonts w:hint="eastAsia" w:ascii="宋体" w:hAnsi="宋体"/>
                      <w:sz w:val="18"/>
                      <w:szCs w:val="18"/>
                    </w:rPr>
                    <w:t>烟气</w:t>
                  </w:r>
                </w:p>
              </w:tc>
              <w:tc>
                <w:tcPr>
                  <w:tcW w:w="664" w:type="dxa"/>
                  <w:tcBorders>
                    <w:top w:val="single" w:color="auto" w:sz="4" w:space="0"/>
                    <w:left w:val="nil"/>
                    <w:bottom w:val="single" w:color="auto" w:sz="4" w:space="0"/>
                    <w:right w:val="single" w:color="auto" w:sz="4" w:space="0"/>
                  </w:tcBorders>
                  <w:vAlign w:val="bottom"/>
                </w:tcPr>
                <w:p>
                  <w:pPr>
                    <w:autoSpaceDE w:val="0"/>
                    <w:adjustRightInd w:val="0"/>
                    <w:snapToGrid w:val="0"/>
                    <w:spacing w:line="280" w:lineRule="exact"/>
                    <w:ind w:left="-105" w:leftChars="-50" w:right="-105" w:rightChars="-50"/>
                    <w:jc w:val="center"/>
                    <w:rPr>
                      <w:sz w:val="18"/>
                      <w:szCs w:val="18"/>
                    </w:rPr>
                  </w:pPr>
                  <w:r>
                    <w:rPr>
                      <w:rFonts w:hint="eastAsia"/>
                      <w:sz w:val="18"/>
                      <w:szCs w:val="18"/>
                    </w:rPr>
                    <w:t>0.0097</w:t>
                  </w:r>
                </w:p>
              </w:tc>
              <w:tc>
                <w:tcPr>
                  <w:tcW w:w="824" w:type="dxa"/>
                  <w:tcBorders>
                    <w:top w:val="single" w:color="auto" w:sz="4" w:space="0"/>
                    <w:left w:val="nil"/>
                    <w:bottom w:val="single" w:color="auto" w:sz="4" w:space="0"/>
                    <w:right w:val="single" w:color="auto" w:sz="4" w:space="0"/>
                  </w:tcBorders>
                  <w:vAlign w:val="bottom"/>
                </w:tcPr>
                <w:p>
                  <w:pPr>
                    <w:autoSpaceDE w:val="0"/>
                    <w:adjustRightInd w:val="0"/>
                    <w:snapToGrid w:val="0"/>
                    <w:spacing w:line="280" w:lineRule="exact"/>
                    <w:ind w:left="-105" w:leftChars="-50" w:right="-105" w:rightChars="-50"/>
                    <w:jc w:val="center"/>
                    <w:rPr>
                      <w:sz w:val="18"/>
                      <w:szCs w:val="18"/>
                    </w:rPr>
                  </w:pPr>
                  <w:r>
                    <w:rPr>
                      <w:rFonts w:hint="eastAsia"/>
                      <w:sz w:val="18"/>
                      <w:szCs w:val="18"/>
                    </w:rPr>
                    <w:t>0.0135</w:t>
                  </w:r>
                </w:p>
              </w:tc>
              <w:tc>
                <w:tcPr>
                  <w:tcW w:w="826"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8.17</w:t>
                  </w:r>
                </w:p>
              </w:tc>
              <w:tc>
                <w:tcPr>
                  <w:tcW w:w="146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059"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1001" w:type="dxa"/>
                  <w:vMerge w:val="continue"/>
                  <w:tcBorders>
                    <w:top w:val="nil"/>
                    <w:left w:val="nil"/>
                    <w:bottom w:val="single" w:color="auto" w:sz="4" w:space="0"/>
                    <w:right w:val="single" w:color="auto" w:sz="4" w:space="0"/>
                  </w:tcBorders>
                  <w:vAlign w:val="center"/>
                </w:tcPr>
                <w:p>
                  <w:pPr>
                    <w:widowControl/>
                    <w:jc w:val="left"/>
                    <w:rPr>
                      <w:sz w:val="18"/>
                      <w:szCs w:val="18"/>
                    </w:rPr>
                  </w:pPr>
                </w:p>
              </w:tc>
              <w:tc>
                <w:tcPr>
                  <w:tcW w:w="69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ascii="宋体" w:hAnsi="宋体"/>
                      <w:sz w:val="18"/>
                      <w:szCs w:val="18"/>
                    </w:rPr>
                    <w:t>烟尘</w:t>
                  </w:r>
                </w:p>
              </w:tc>
              <w:tc>
                <w:tcPr>
                  <w:tcW w:w="1790"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kern w:val="0"/>
                      <w:sz w:val="18"/>
                      <w:szCs w:val="18"/>
                    </w:rPr>
                    <w:t>3.7mg/m</w:t>
                  </w:r>
                  <w:r>
                    <w:rPr>
                      <w:rFonts w:hint="eastAsia"/>
                      <w:kern w:val="0"/>
                      <w:sz w:val="18"/>
                      <w:szCs w:val="18"/>
                      <w:vertAlign w:val="superscript"/>
                    </w:rPr>
                    <w:t>3</w:t>
                  </w:r>
                  <w:r>
                    <w:rPr>
                      <w:rFonts w:hint="eastAsia"/>
                      <w:sz w:val="18"/>
                      <w:szCs w:val="18"/>
                    </w:rPr>
                    <w:t>-</w:t>
                  </w:r>
                  <w:r>
                    <w:rPr>
                      <w:rFonts w:hint="eastAsia" w:ascii="宋体" w:hAnsi="宋体"/>
                      <w:sz w:val="18"/>
                      <w:szCs w:val="18"/>
                    </w:rPr>
                    <w:t>烟气</w:t>
                  </w:r>
                </w:p>
              </w:tc>
              <w:tc>
                <w:tcPr>
                  <w:tcW w:w="664" w:type="dxa"/>
                  <w:tcBorders>
                    <w:top w:val="single" w:color="auto" w:sz="4" w:space="0"/>
                    <w:left w:val="nil"/>
                    <w:bottom w:val="single" w:color="auto" w:sz="4" w:space="0"/>
                    <w:right w:val="single" w:color="auto" w:sz="4" w:space="0"/>
                  </w:tcBorders>
                  <w:vAlign w:val="bottom"/>
                </w:tcPr>
                <w:p>
                  <w:pPr>
                    <w:autoSpaceDE w:val="0"/>
                    <w:adjustRightInd w:val="0"/>
                    <w:snapToGrid w:val="0"/>
                    <w:spacing w:line="280" w:lineRule="exact"/>
                    <w:ind w:left="-105" w:leftChars="-50" w:right="-105" w:rightChars="-50"/>
                    <w:jc w:val="center"/>
                    <w:rPr>
                      <w:sz w:val="18"/>
                      <w:szCs w:val="18"/>
                    </w:rPr>
                  </w:pPr>
                  <w:r>
                    <w:rPr>
                      <w:rFonts w:hint="eastAsia"/>
                      <w:sz w:val="18"/>
                      <w:szCs w:val="18"/>
                    </w:rPr>
                    <w:t>0.0044</w:t>
                  </w:r>
                </w:p>
              </w:tc>
              <w:tc>
                <w:tcPr>
                  <w:tcW w:w="824" w:type="dxa"/>
                  <w:tcBorders>
                    <w:top w:val="single" w:color="auto" w:sz="4" w:space="0"/>
                    <w:left w:val="nil"/>
                    <w:bottom w:val="single" w:color="auto" w:sz="4" w:space="0"/>
                    <w:right w:val="single" w:color="auto" w:sz="4" w:space="0"/>
                  </w:tcBorders>
                  <w:vAlign w:val="bottom"/>
                </w:tcPr>
                <w:p>
                  <w:pPr>
                    <w:autoSpaceDE w:val="0"/>
                    <w:adjustRightInd w:val="0"/>
                    <w:snapToGrid w:val="0"/>
                    <w:spacing w:line="280" w:lineRule="exact"/>
                    <w:ind w:left="-105" w:leftChars="-50" w:right="-105" w:rightChars="-50"/>
                    <w:jc w:val="center"/>
                    <w:rPr>
                      <w:sz w:val="18"/>
                      <w:szCs w:val="18"/>
                    </w:rPr>
                  </w:pPr>
                  <w:r>
                    <w:rPr>
                      <w:rFonts w:hint="eastAsia"/>
                      <w:sz w:val="18"/>
                      <w:szCs w:val="18"/>
                    </w:rPr>
                    <w:t>0.0061</w:t>
                  </w:r>
                </w:p>
              </w:tc>
              <w:tc>
                <w:tcPr>
                  <w:tcW w:w="826"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3.7</w:t>
                  </w:r>
                </w:p>
              </w:tc>
              <w:tc>
                <w:tcPr>
                  <w:tcW w:w="1467" w:type="dxa"/>
                  <w:tcBorders>
                    <w:top w:val="single" w:color="auto" w:sz="4" w:space="0"/>
                    <w:left w:val="nil"/>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059" w:type="dxa"/>
                  <w:gridSpan w:val="8"/>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rPr>
                      <w:sz w:val="18"/>
                      <w:szCs w:val="18"/>
                    </w:rPr>
                  </w:pPr>
                  <w:r>
                    <w:rPr>
                      <w:rFonts w:hint="eastAsia" w:ascii="宋体" w:hAnsi="宋体"/>
                      <w:sz w:val="18"/>
                      <w:szCs w:val="18"/>
                    </w:rPr>
                    <w:t>注：</w:t>
                  </w:r>
                  <w:r>
                    <w:rPr>
                      <w:rFonts w:hint="eastAsia"/>
                      <w:sz w:val="18"/>
                      <w:szCs w:val="18"/>
                    </w:rPr>
                    <w:t>*</w:t>
                  </w:r>
                  <w:r>
                    <w:rPr>
                      <w:rFonts w:hint="eastAsia" w:ascii="宋体" w:hAnsi="宋体"/>
                      <w:sz w:val="18"/>
                      <w:szCs w:val="18"/>
                    </w:rPr>
                    <w:t>表中的</w:t>
                  </w:r>
                  <w:r>
                    <w:rPr>
                      <w:rFonts w:hint="eastAsia"/>
                      <w:sz w:val="18"/>
                      <w:szCs w:val="18"/>
                    </w:rPr>
                    <w:t>S</w:t>
                  </w:r>
                  <w:r>
                    <w:rPr>
                      <w:rFonts w:hint="eastAsia" w:ascii="宋体" w:hAnsi="宋体"/>
                      <w:sz w:val="18"/>
                      <w:szCs w:val="18"/>
                    </w:rPr>
                    <w:t>表示含硫量，本项目天然气符合《</w:t>
                  </w:r>
                  <w:r>
                    <w:rPr>
                      <w:rFonts w:hint="eastAsia"/>
                      <w:sz w:val="18"/>
                      <w:szCs w:val="18"/>
                    </w:rPr>
                    <w:t>GB17820-2018</w:t>
                  </w:r>
                  <w:r>
                    <w:rPr>
                      <w:rFonts w:hint="eastAsia" w:ascii="宋体" w:hAnsi="宋体"/>
                      <w:sz w:val="18"/>
                      <w:szCs w:val="18"/>
                    </w:rPr>
                    <w:t>》中一类气质要求，天然气中总硫含量应低于</w:t>
                  </w:r>
                  <w:r>
                    <w:rPr>
                      <w:rFonts w:hint="eastAsia"/>
                      <w:sz w:val="18"/>
                      <w:szCs w:val="18"/>
                    </w:rPr>
                    <w:t>20</w:t>
                  </w:r>
                  <w:r>
                    <w:rPr>
                      <w:rFonts w:hint="eastAsia" w:ascii="宋体" w:hAnsi="宋体"/>
                      <w:sz w:val="18"/>
                      <w:szCs w:val="18"/>
                    </w:rPr>
                    <w:t>毫克</w:t>
                  </w:r>
                  <w:r>
                    <w:rPr>
                      <w:rFonts w:hint="eastAsia"/>
                      <w:sz w:val="18"/>
                      <w:szCs w:val="18"/>
                    </w:rPr>
                    <w:t>/</w:t>
                  </w:r>
                  <w:r>
                    <w:rPr>
                      <w:rFonts w:hint="eastAsia" w:ascii="宋体" w:hAnsi="宋体"/>
                      <w:sz w:val="18"/>
                      <w:szCs w:val="18"/>
                    </w:rPr>
                    <w:t>立方米，则</w:t>
                  </w:r>
                  <w:r>
                    <w:rPr>
                      <w:rFonts w:hint="eastAsia"/>
                      <w:sz w:val="18"/>
                      <w:szCs w:val="18"/>
                    </w:rPr>
                    <w:t>S</w:t>
                  </w:r>
                  <w:r>
                    <w:rPr>
                      <w:rFonts w:hint="eastAsia" w:ascii="宋体" w:hAnsi="宋体"/>
                      <w:sz w:val="18"/>
                      <w:szCs w:val="18"/>
                    </w:rPr>
                    <w:t>取</w:t>
                  </w:r>
                  <w:r>
                    <w:rPr>
                      <w:rFonts w:hint="eastAsia"/>
                      <w:sz w:val="18"/>
                      <w:szCs w:val="18"/>
                    </w:rPr>
                    <w:t>20</w:t>
                  </w:r>
                  <w:r>
                    <w:rPr>
                      <w:rFonts w:hint="eastAsia" w:ascii="宋体" w:hAnsi="宋体"/>
                      <w:sz w:val="18"/>
                      <w:szCs w:val="18"/>
                    </w:rPr>
                    <w:t>。</w:t>
                  </w:r>
                </w:p>
              </w:tc>
            </w:tr>
          </w:tbl>
          <w:p>
            <w:pPr>
              <w:autoSpaceDE w:val="0"/>
              <w:autoSpaceDN w:val="0"/>
              <w:adjustRightInd w:val="0"/>
              <w:snapToGrid w:val="0"/>
              <w:spacing w:line="400" w:lineRule="exact"/>
              <w:ind w:firstLine="422" w:firstLineChars="200"/>
              <w:jc w:val="left"/>
              <w:rPr>
                <w:b/>
                <w:bCs/>
                <w:kern w:val="0"/>
                <w:szCs w:val="21"/>
              </w:rPr>
            </w:pPr>
            <w:r>
              <w:rPr>
                <w:rFonts w:ascii="宋体" w:hAnsi="宋体"/>
                <w:b/>
                <w:bCs/>
                <w:kern w:val="0"/>
              </w:rPr>
              <w:t>（</w:t>
            </w:r>
            <w:r>
              <w:rPr>
                <w:b/>
                <w:bCs/>
                <w:kern w:val="0"/>
              </w:rPr>
              <w:t>2</w:t>
            </w:r>
            <w:r>
              <w:rPr>
                <w:rFonts w:ascii="宋体" w:hAnsi="宋体"/>
                <w:b/>
                <w:bCs/>
                <w:kern w:val="0"/>
              </w:rPr>
              <w:t>）治理措施及排放情况</w:t>
            </w:r>
          </w:p>
          <w:p>
            <w:pPr>
              <w:autoSpaceDE w:val="0"/>
              <w:autoSpaceDN w:val="0"/>
              <w:adjustRightInd w:val="0"/>
              <w:snapToGrid w:val="0"/>
              <w:spacing w:line="400" w:lineRule="exact"/>
              <w:ind w:firstLine="420" w:firstLineChars="200"/>
              <w:jc w:val="left"/>
              <w:rPr>
                <w:rFonts w:ascii="宋体" w:hAnsi="宋体"/>
                <w:kern w:val="0"/>
              </w:rPr>
            </w:pPr>
            <w:r>
              <w:rPr>
                <w:rFonts w:ascii="宋体" w:hAnsi="宋体"/>
                <w:kern w:val="0"/>
              </w:rPr>
              <w:t>本项目为</w:t>
            </w:r>
            <w:r>
              <w:rPr>
                <w:rFonts w:hint="eastAsia" w:ascii="宋体" w:hAnsi="宋体"/>
                <w:kern w:val="0"/>
              </w:rPr>
              <w:t>新增备用燃气锅炉项目，拟将锅炉安装在专门的</w:t>
            </w:r>
            <w:r>
              <w:rPr>
                <w:rFonts w:ascii="宋体" w:hAnsi="宋体"/>
                <w:kern w:val="0"/>
              </w:rPr>
              <w:t>锅炉房</w:t>
            </w:r>
            <w:r>
              <w:rPr>
                <w:rFonts w:hint="eastAsia" w:ascii="宋体" w:hAnsi="宋体"/>
                <w:kern w:val="0"/>
              </w:rPr>
              <w:t>内</w:t>
            </w:r>
            <w:r>
              <w:rPr>
                <w:rFonts w:ascii="宋体" w:hAnsi="宋体"/>
                <w:kern w:val="0"/>
              </w:rPr>
              <w:t>，</w:t>
            </w:r>
            <w:r>
              <w:rPr>
                <w:rFonts w:hint="eastAsia" w:ascii="宋体" w:hAnsi="宋体"/>
                <w:kern w:val="0"/>
              </w:rPr>
              <w:t>配套</w:t>
            </w:r>
            <w:r>
              <w:rPr>
                <w:rFonts w:hint="eastAsia"/>
                <w:kern w:val="0"/>
              </w:rPr>
              <w:t>1</w:t>
            </w:r>
            <w:r>
              <w:rPr>
                <w:rFonts w:hint="eastAsia" w:ascii="宋体" w:hAnsi="宋体"/>
                <w:kern w:val="0"/>
              </w:rPr>
              <w:t>台低氮燃烧器，降低排放烟气中的氮氧化物。燃烧后的烟气再</w:t>
            </w:r>
            <w:r>
              <w:rPr>
                <w:rFonts w:ascii="宋体" w:hAnsi="宋体"/>
                <w:kern w:val="0"/>
              </w:rPr>
              <w:t>通过</w:t>
            </w:r>
            <w:r>
              <w:rPr>
                <w:kern w:val="0"/>
              </w:rPr>
              <w:t>1</w:t>
            </w:r>
            <w:r>
              <w:rPr>
                <w:rFonts w:ascii="宋体" w:hAnsi="宋体"/>
                <w:kern w:val="0"/>
              </w:rPr>
              <w:t>根排气筒在锅炉房顶部有组织排放</w:t>
            </w:r>
            <w:r>
              <w:rPr>
                <w:rFonts w:hint="eastAsia" w:ascii="宋体" w:hAnsi="宋体"/>
                <w:kern w:val="0"/>
              </w:rPr>
              <w:t>。根据</w:t>
            </w:r>
            <w:r>
              <w:rPr>
                <w:rFonts w:ascii="宋体" w:hAnsi="宋体"/>
                <w:kern w:val="0"/>
              </w:rPr>
              <w:t>《锅炉大气污染物排放标准》（</w:t>
            </w:r>
            <w:r>
              <w:rPr>
                <w:kern w:val="0"/>
              </w:rPr>
              <w:t>GB13271-2014</w:t>
            </w:r>
            <w:r>
              <w:rPr>
                <w:rFonts w:ascii="宋体" w:hAnsi="宋体"/>
                <w:kern w:val="0"/>
              </w:rPr>
              <w:t>）</w:t>
            </w:r>
            <w:r>
              <w:rPr>
                <w:rFonts w:hint="eastAsia" w:ascii="宋体" w:hAnsi="宋体"/>
                <w:kern w:val="0"/>
              </w:rPr>
              <w:t>中</w:t>
            </w:r>
            <w:r>
              <w:rPr>
                <w:rFonts w:hint="eastAsia"/>
                <w:kern w:val="0"/>
              </w:rPr>
              <w:t>4.5</w:t>
            </w:r>
            <w:r>
              <w:rPr>
                <w:rFonts w:hint="eastAsia" w:ascii="宋体" w:hAnsi="宋体"/>
                <w:kern w:val="0"/>
              </w:rPr>
              <w:t>条</w:t>
            </w:r>
            <w:r>
              <w:rPr>
                <w:rFonts w:ascii="宋体" w:hAnsi="宋体"/>
                <w:kern w:val="0"/>
              </w:rPr>
              <w:t>规定：</w:t>
            </w:r>
            <w:r>
              <w:rPr>
                <w:kern w:val="0"/>
              </w:rPr>
              <w:t>“</w:t>
            </w:r>
            <w:r>
              <w:rPr>
                <w:rFonts w:ascii="宋体" w:hAnsi="宋体"/>
                <w:kern w:val="0"/>
              </w:rPr>
              <w:t>燃油、燃气锅炉烟囱不低于</w:t>
            </w:r>
            <w:r>
              <w:rPr>
                <w:kern w:val="0"/>
              </w:rPr>
              <w:t>8m</w:t>
            </w:r>
            <w:r>
              <w:rPr>
                <w:rFonts w:ascii="宋体" w:hAnsi="宋体"/>
                <w:kern w:val="0"/>
              </w:rPr>
              <w:t>，新建锅炉房的烟囱周围半径</w:t>
            </w:r>
            <w:r>
              <w:rPr>
                <w:kern w:val="0"/>
              </w:rPr>
              <w:t>200m</w:t>
            </w:r>
            <w:r>
              <w:rPr>
                <w:rFonts w:ascii="宋体" w:hAnsi="宋体"/>
                <w:kern w:val="0"/>
              </w:rPr>
              <w:t>范围内有建筑物时，其烟囱应高出最高建筑物</w:t>
            </w:r>
            <w:r>
              <w:rPr>
                <w:kern w:val="0"/>
              </w:rPr>
              <w:t>3m</w:t>
            </w:r>
            <w:r>
              <w:rPr>
                <w:rFonts w:ascii="宋体" w:hAnsi="宋体"/>
                <w:kern w:val="0"/>
              </w:rPr>
              <w:t>以上</w:t>
            </w:r>
            <w:r>
              <w:rPr>
                <w:kern w:val="0"/>
              </w:rPr>
              <w:t>”</w:t>
            </w:r>
            <w:r>
              <w:rPr>
                <w:rFonts w:ascii="宋体" w:hAnsi="宋体"/>
                <w:kern w:val="0"/>
              </w:rPr>
              <w:t>的要求。</w:t>
            </w:r>
          </w:p>
          <w:p>
            <w:pPr>
              <w:autoSpaceDE w:val="0"/>
              <w:autoSpaceDN w:val="0"/>
              <w:adjustRightInd w:val="0"/>
              <w:snapToGrid w:val="0"/>
              <w:spacing w:line="400" w:lineRule="exact"/>
              <w:ind w:firstLine="420" w:firstLineChars="200"/>
              <w:jc w:val="left"/>
              <w:rPr>
                <w:kern w:val="0"/>
              </w:rPr>
            </w:pPr>
            <w:r>
              <w:rPr>
                <w:rFonts w:hint="eastAsia" w:ascii="宋体" w:hAnsi="宋体"/>
                <w:kern w:val="0"/>
              </w:rPr>
              <w:t>根据调查，因项目建设区域占地地势较高，锅炉房废气安装12m排气筒能够满足高于周围</w:t>
            </w:r>
            <w:r>
              <w:rPr>
                <w:rFonts w:hint="eastAsia"/>
                <w:kern w:val="0"/>
              </w:rPr>
              <w:t>200m</w:t>
            </w:r>
            <w:r>
              <w:rPr>
                <w:rFonts w:hint="eastAsia" w:ascii="宋体" w:hAnsi="宋体"/>
                <w:kern w:val="0"/>
              </w:rPr>
              <w:t>范围最高的建筑的要求，</w:t>
            </w:r>
            <w:r>
              <w:rPr>
                <w:rFonts w:ascii="宋体" w:hAnsi="宋体"/>
                <w:kern w:val="0"/>
              </w:rPr>
              <w:t>满足《锅炉大气污染物排放标准》（</w:t>
            </w:r>
            <w:r>
              <w:rPr>
                <w:kern w:val="0"/>
              </w:rPr>
              <w:t>GB13271-2014</w:t>
            </w:r>
            <w:r>
              <w:rPr>
                <w:rFonts w:ascii="宋体" w:hAnsi="宋体"/>
                <w:kern w:val="0"/>
              </w:rPr>
              <w:t>）的</w:t>
            </w:r>
            <w:r>
              <w:rPr>
                <w:rFonts w:hint="eastAsia" w:ascii="宋体" w:hAnsi="宋体"/>
                <w:kern w:val="0"/>
              </w:rPr>
              <w:t>相关</w:t>
            </w:r>
            <w:r>
              <w:rPr>
                <w:rFonts w:ascii="宋体" w:hAnsi="宋体"/>
                <w:kern w:val="0"/>
              </w:rPr>
              <w:t>要求。</w:t>
            </w:r>
            <w:r>
              <w:rPr>
                <w:rFonts w:hint="eastAsia" w:ascii="宋体" w:hAnsi="宋体"/>
                <w:kern w:val="0"/>
              </w:rPr>
              <w:t>另外，项目使用天然气为燃料，天然气属清洁能源</w:t>
            </w:r>
            <w:r>
              <w:rPr>
                <w:rFonts w:ascii="宋体" w:hAnsi="宋体"/>
                <w:kern w:val="0"/>
              </w:rPr>
              <w:t>，</w:t>
            </w:r>
            <w:r>
              <w:rPr>
                <w:rFonts w:hint="eastAsia" w:ascii="宋体" w:hAnsi="宋体"/>
                <w:kern w:val="0"/>
              </w:rPr>
              <w:t>燃烧产生的污染物很少；同时项目锅炉使用频率较低，燃烧废气</w:t>
            </w:r>
            <w:r>
              <w:rPr>
                <w:rFonts w:ascii="宋体" w:hAnsi="宋体"/>
                <w:kern w:val="0"/>
              </w:rPr>
              <w:t>对环境的影响很小。</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w:t>
            </w:r>
            <w:r>
              <w:rPr>
                <w:rFonts w:hint="eastAsia" w:eastAsia="黑体"/>
                <w:kern w:val="0"/>
                <w:sz w:val="20"/>
                <w:szCs w:val="20"/>
              </w:rPr>
              <w:t>2</w:t>
            </w:r>
            <w:r>
              <w:rPr>
                <w:rFonts w:eastAsia="黑体"/>
                <w:kern w:val="0"/>
                <w:sz w:val="20"/>
                <w:szCs w:val="20"/>
              </w:rPr>
              <w:t xml:space="preserve">   </w:t>
            </w:r>
            <w:r>
              <w:rPr>
                <w:rFonts w:ascii="黑体" w:hAnsi="黑体" w:eastAsia="黑体"/>
                <w:kern w:val="0"/>
                <w:sz w:val="20"/>
                <w:szCs w:val="20"/>
              </w:rPr>
              <w:t>废气产排污节点、污染物及污染治理设施信息表</w:t>
            </w:r>
          </w:p>
          <w:tbl>
            <w:tblPr>
              <w:tblStyle w:val="21"/>
              <w:tblW w:w="7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61"/>
              <w:gridCol w:w="744"/>
              <w:gridCol w:w="1335"/>
              <w:gridCol w:w="577"/>
              <w:gridCol w:w="631"/>
              <w:gridCol w:w="1458"/>
              <w:gridCol w:w="1341"/>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961" w:type="dxa"/>
                  <w:vMerge w:val="restart"/>
                  <w:vAlign w:val="center"/>
                </w:tcPr>
                <w:p>
                  <w:pPr>
                    <w:autoSpaceDE w:val="0"/>
                    <w:adjustRightInd w:val="0"/>
                    <w:snapToGrid w:val="0"/>
                    <w:spacing w:line="280" w:lineRule="exact"/>
                    <w:jc w:val="center"/>
                    <w:rPr>
                      <w:b/>
                      <w:bCs/>
                      <w:sz w:val="20"/>
                      <w:szCs w:val="20"/>
                    </w:rPr>
                  </w:pPr>
                  <w:r>
                    <w:rPr>
                      <w:rFonts w:ascii="宋体" w:hAnsi="宋体"/>
                      <w:b/>
                      <w:bCs/>
                      <w:sz w:val="20"/>
                      <w:szCs w:val="20"/>
                    </w:rPr>
                    <w:t>生产线名称及编号</w:t>
                  </w:r>
                </w:p>
              </w:tc>
              <w:tc>
                <w:tcPr>
                  <w:tcW w:w="744" w:type="dxa"/>
                  <w:vMerge w:val="restart"/>
                  <w:vAlign w:val="center"/>
                </w:tcPr>
                <w:p>
                  <w:pPr>
                    <w:autoSpaceDE w:val="0"/>
                    <w:adjustRightInd w:val="0"/>
                    <w:snapToGrid w:val="0"/>
                    <w:spacing w:line="280" w:lineRule="exact"/>
                    <w:jc w:val="center"/>
                    <w:rPr>
                      <w:b/>
                      <w:bCs/>
                      <w:sz w:val="20"/>
                      <w:szCs w:val="20"/>
                    </w:rPr>
                  </w:pPr>
                  <w:r>
                    <w:rPr>
                      <w:rFonts w:ascii="宋体" w:hAnsi="宋体"/>
                      <w:b/>
                      <w:bCs/>
                      <w:sz w:val="20"/>
                      <w:szCs w:val="20"/>
                    </w:rPr>
                    <w:t>主要生产单元</w:t>
                  </w:r>
                </w:p>
              </w:tc>
              <w:tc>
                <w:tcPr>
                  <w:tcW w:w="1335" w:type="dxa"/>
                  <w:vMerge w:val="restart"/>
                  <w:vAlign w:val="center"/>
                </w:tcPr>
                <w:p>
                  <w:pPr>
                    <w:autoSpaceDE w:val="0"/>
                    <w:adjustRightInd w:val="0"/>
                    <w:snapToGrid w:val="0"/>
                    <w:spacing w:line="280" w:lineRule="exact"/>
                    <w:jc w:val="center"/>
                    <w:rPr>
                      <w:b/>
                      <w:bCs/>
                      <w:sz w:val="20"/>
                      <w:szCs w:val="20"/>
                    </w:rPr>
                  </w:pPr>
                  <w:r>
                    <w:rPr>
                      <w:rFonts w:ascii="宋体" w:hAnsi="宋体"/>
                      <w:b/>
                      <w:bCs/>
                      <w:sz w:val="20"/>
                      <w:szCs w:val="20"/>
                    </w:rPr>
                    <w:t>产污设施编号</w:t>
                  </w:r>
                </w:p>
              </w:tc>
              <w:tc>
                <w:tcPr>
                  <w:tcW w:w="577" w:type="dxa"/>
                  <w:vMerge w:val="restart"/>
                  <w:vAlign w:val="center"/>
                </w:tcPr>
                <w:p>
                  <w:pPr>
                    <w:autoSpaceDE w:val="0"/>
                    <w:adjustRightInd w:val="0"/>
                    <w:snapToGrid w:val="0"/>
                    <w:spacing w:line="280" w:lineRule="exact"/>
                    <w:jc w:val="center"/>
                    <w:rPr>
                      <w:b/>
                      <w:bCs/>
                      <w:sz w:val="18"/>
                      <w:szCs w:val="18"/>
                    </w:rPr>
                  </w:pPr>
                  <w:r>
                    <w:rPr>
                      <w:rFonts w:ascii="宋体" w:hAnsi="宋体"/>
                      <w:b/>
                      <w:bCs/>
                      <w:sz w:val="18"/>
                      <w:szCs w:val="18"/>
                    </w:rPr>
                    <w:t>污染物种类</w:t>
                  </w:r>
                </w:p>
              </w:tc>
              <w:tc>
                <w:tcPr>
                  <w:tcW w:w="631" w:type="dxa"/>
                  <w:vMerge w:val="restart"/>
                  <w:vAlign w:val="center"/>
                </w:tcPr>
                <w:p>
                  <w:pPr>
                    <w:autoSpaceDE w:val="0"/>
                    <w:adjustRightInd w:val="0"/>
                    <w:snapToGrid w:val="0"/>
                    <w:spacing w:line="280" w:lineRule="exact"/>
                    <w:jc w:val="center"/>
                    <w:rPr>
                      <w:b/>
                      <w:bCs/>
                      <w:sz w:val="18"/>
                      <w:szCs w:val="18"/>
                    </w:rPr>
                  </w:pPr>
                  <w:r>
                    <w:rPr>
                      <w:rFonts w:ascii="宋体" w:hAnsi="宋体"/>
                      <w:b/>
                      <w:bCs/>
                      <w:sz w:val="18"/>
                      <w:szCs w:val="18"/>
                    </w:rPr>
                    <w:t>排放形式</w:t>
                  </w:r>
                </w:p>
              </w:tc>
              <w:tc>
                <w:tcPr>
                  <w:tcW w:w="2799" w:type="dxa"/>
                  <w:gridSpan w:val="2"/>
                  <w:vAlign w:val="center"/>
                </w:tcPr>
                <w:p>
                  <w:pPr>
                    <w:autoSpaceDE w:val="0"/>
                    <w:adjustRightInd w:val="0"/>
                    <w:snapToGrid w:val="0"/>
                    <w:spacing w:line="280" w:lineRule="exact"/>
                    <w:jc w:val="center"/>
                    <w:rPr>
                      <w:b/>
                      <w:bCs/>
                      <w:sz w:val="18"/>
                      <w:szCs w:val="18"/>
                    </w:rPr>
                  </w:pPr>
                  <w:r>
                    <w:rPr>
                      <w:rFonts w:ascii="宋体" w:hAnsi="宋体"/>
                      <w:b/>
                      <w:bCs/>
                      <w:sz w:val="18"/>
                      <w:szCs w:val="18"/>
                    </w:rPr>
                    <w:t>污染</w:t>
                  </w:r>
                  <w:r>
                    <w:rPr>
                      <w:rFonts w:hint="eastAsia" w:ascii="宋体" w:hAnsi="宋体"/>
                      <w:b/>
                      <w:bCs/>
                      <w:sz w:val="18"/>
                      <w:szCs w:val="18"/>
                      <w:lang w:val="en-US" w:eastAsia="zh-CN"/>
                    </w:rPr>
                    <w:t>整</w:t>
                  </w:r>
                  <w:r>
                    <w:rPr>
                      <w:rFonts w:ascii="宋体" w:hAnsi="宋体"/>
                      <w:b/>
                      <w:bCs/>
                      <w:sz w:val="18"/>
                      <w:szCs w:val="18"/>
                    </w:rPr>
                    <w:t>治理设施</w:t>
                  </w:r>
                </w:p>
              </w:tc>
              <w:tc>
                <w:tcPr>
                  <w:tcW w:w="672" w:type="dxa"/>
                  <w:vMerge w:val="restart"/>
                  <w:vAlign w:val="center"/>
                </w:tcPr>
                <w:p>
                  <w:pPr>
                    <w:autoSpaceDE w:val="0"/>
                    <w:adjustRightInd w:val="0"/>
                    <w:snapToGrid w:val="0"/>
                    <w:spacing w:line="280" w:lineRule="exact"/>
                    <w:jc w:val="center"/>
                    <w:rPr>
                      <w:b/>
                      <w:bCs/>
                      <w:sz w:val="18"/>
                      <w:szCs w:val="18"/>
                    </w:rPr>
                  </w:pPr>
                  <w:r>
                    <w:rPr>
                      <w:rFonts w:ascii="宋体" w:hAnsi="宋体"/>
                      <w:b/>
                      <w:bCs/>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961" w:type="dxa"/>
                  <w:vMerge w:val="continue"/>
                  <w:vAlign w:val="center"/>
                </w:tcPr>
                <w:p>
                  <w:pPr>
                    <w:widowControl/>
                    <w:jc w:val="left"/>
                    <w:rPr>
                      <w:b/>
                      <w:bCs/>
                      <w:sz w:val="20"/>
                      <w:szCs w:val="20"/>
                    </w:rPr>
                  </w:pPr>
                </w:p>
              </w:tc>
              <w:tc>
                <w:tcPr>
                  <w:tcW w:w="744" w:type="dxa"/>
                  <w:vMerge w:val="continue"/>
                  <w:vAlign w:val="center"/>
                </w:tcPr>
                <w:p>
                  <w:pPr>
                    <w:widowControl/>
                    <w:jc w:val="left"/>
                    <w:rPr>
                      <w:b/>
                      <w:bCs/>
                      <w:sz w:val="20"/>
                      <w:szCs w:val="20"/>
                    </w:rPr>
                  </w:pPr>
                </w:p>
              </w:tc>
              <w:tc>
                <w:tcPr>
                  <w:tcW w:w="1335" w:type="dxa"/>
                  <w:vMerge w:val="continue"/>
                  <w:vAlign w:val="center"/>
                </w:tcPr>
                <w:p>
                  <w:pPr>
                    <w:widowControl/>
                    <w:jc w:val="left"/>
                    <w:rPr>
                      <w:b/>
                      <w:bCs/>
                      <w:sz w:val="20"/>
                      <w:szCs w:val="20"/>
                    </w:rPr>
                  </w:pPr>
                </w:p>
              </w:tc>
              <w:tc>
                <w:tcPr>
                  <w:tcW w:w="577" w:type="dxa"/>
                  <w:vMerge w:val="continue"/>
                  <w:vAlign w:val="center"/>
                </w:tcPr>
                <w:p>
                  <w:pPr>
                    <w:widowControl/>
                    <w:jc w:val="left"/>
                    <w:rPr>
                      <w:b/>
                      <w:bCs/>
                      <w:sz w:val="18"/>
                      <w:szCs w:val="18"/>
                    </w:rPr>
                  </w:pPr>
                </w:p>
              </w:tc>
              <w:tc>
                <w:tcPr>
                  <w:tcW w:w="631" w:type="dxa"/>
                  <w:vMerge w:val="continue"/>
                  <w:vAlign w:val="center"/>
                </w:tcPr>
                <w:p>
                  <w:pPr>
                    <w:widowControl/>
                    <w:jc w:val="left"/>
                    <w:rPr>
                      <w:b/>
                      <w:bCs/>
                      <w:sz w:val="18"/>
                      <w:szCs w:val="18"/>
                    </w:rPr>
                  </w:pPr>
                </w:p>
              </w:tc>
              <w:tc>
                <w:tcPr>
                  <w:tcW w:w="1458" w:type="dxa"/>
                  <w:vAlign w:val="center"/>
                </w:tcPr>
                <w:p>
                  <w:pPr>
                    <w:autoSpaceDE w:val="0"/>
                    <w:adjustRightInd w:val="0"/>
                    <w:snapToGrid w:val="0"/>
                    <w:spacing w:line="280" w:lineRule="exact"/>
                    <w:jc w:val="center"/>
                    <w:rPr>
                      <w:b/>
                      <w:bCs/>
                      <w:sz w:val="18"/>
                      <w:szCs w:val="18"/>
                    </w:rPr>
                  </w:pPr>
                  <w:r>
                    <w:rPr>
                      <w:rFonts w:ascii="宋体" w:hAnsi="宋体"/>
                      <w:b/>
                      <w:bCs/>
                      <w:sz w:val="18"/>
                      <w:szCs w:val="18"/>
                    </w:rPr>
                    <w:t>污染</w:t>
                  </w:r>
                  <w:r>
                    <w:rPr>
                      <w:rFonts w:hint="eastAsia" w:ascii="宋体" w:hAnsi="宋体"/>
                      <w:b/>
                      <w:bCs/>
                      <w:sz w:val="18"/>
                      <w:szCs w:val="18"/>
                      <w:lang w:val="en-US" w:eastAsia="zh-CN"/>
                    </w:rPr>
                    <w:t>整</w:t>
                  </w:r>
                  <w:r>
                    <w:rPr>
                      <w:rFonts w:ascii="宋体" w:hAnsi="宋体"/>
                      <w:b/>
                      <w:bCs/>
                      <w:sz w:val="18"/>
                      <w:szCs w:val="18"/>
                    </w:rPr>
                    <w:t>治理工艺</w:t>
                  </w:r>
                </w:p>
              </w:tc>
              <w:tc>
                <w:tcPr>
                  <w:tcW w:w="1341" w:type="dxa"/>
                  <w:vAlign w:val="center"/>
                </w:tcPr>
                <w:p>
                  <w:pPr>
                    <w:autoSpaceDE w:val="0"/>
                    <w:adjustRightInd w:val="0"/>
                    <w:snapToGrid w:val="0"/>
                    <w:spacing w:line="280" w:lineRule="exact"/>
                    <w:jc w:val="center"/>
                    <w:rPr>
                      <w:b/>
                      <w:bCs/>
                      <w:sz w:val="18"/>
                      <w:szCs w:val="18"/>
                    </w:rPr>
                  </w:pPr>
                  <w:r>
                    <w:rPr>
                      <w:rFonts w:ascii="宋体" w:hAnsi="宋体"/>
                      <w:b/>
                      <w:bCs/>
                      <w:sz w:val="18"/>
                      <w:szCs w:val="18"/>
                    </w:rPr>
                    <w:t>是否为可行技术</w:t>
                  </w:r>
                </w:p>
              </w:tc>
              <w:tc>
                <w:tcPr>
                  <w:tcW w:w="672" w:type="dxa"/>
                  <w:vMerge w:val="continue"/>
                  <w:vAlign w:val="center"/>
                </w:tcPr>
                <w:p>
                  <w:pPr>
                    <w:widowControl/>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961" w:type="dxa"/>
                  <w:vMerge w:val="restart"/>
                  <w:vAlign w:val="center"/>
                </w:tcPr>
                <w:p>
                  <w:pPr>
                    <w:autoSpaceDE w:val="0"/>
                    <w:adjustRightInd w:val="0"/>
                    <w:snapToGrid w:val="0"/>
                    <w:spacing w:line="280" w:lineRule="exact"/>
                    <w:jc w:val="center"/>
                    <w:rPr>
                      <w:sz w:val="18"/>
                      <w:szCs w:val="18"/>
                    </w:rPr>
                  </w:pPr>
                  <w:r>
                    <w:rPr>
                      <w:rFonts w:hint="eastAsia" w:ascii="宋体" w:hAnsi="宋体"/>
                      <w:sz w:val="18"/>
                      <w:szCs w:val="18"/>
                    </w:rPr>
                    <w:t>锅炉房</w:t>
                  </w:r>
                  <w:r>
                    <w:rPr>
                      <w:rFonts w:hint="eastAsia"/>
                      <w:sz w:val="18"/>
                      <w:szCs w:val="18"/>
                    </w:rPr>
                    <w:t>GLF</w:t>
                  </w:r>
                  <w:r>
                    <w:rPr>
                      <w:sz w:val="18"/>
                      <w:szCs w:val="18"/>
                    </w:rPr>
                    <w:t>001</w:t>
                  </w:r>
                </w:p>
              </w:tc>
              <w:tc>
                <w:tcPr>
                  <w:tcW w:w="744" w:type="dxa"/>
                  <w:vMerge w:val="restart"/>
                  <w:vAlign w:val="center"/>
                </w:tcPr>
                <w:p>
                  <w:pPr>
                    <w:autoSpaceDE w:val="0"/>
                    <w:adjustRightInd w:val="0"/>
                    <w:snapToGrid w:val="0"/>
                    <w:spacing w:line="280" w:lineRule="exact"/>
                    <w:rPr>
                      <w:sz w:val="18"/>
                      <w:szCs w:val="18"/>
                    </w:rPr>
                  </w:pPr>
                  <w:r>
                    <w:rPr>
                      <w:rFonts w:hint="eastAsia" w:ascii="宋体" w:hAnsi="宋体"/>
                      <w:sz w:val="18"/>
                      <w:szCs w:val="18"/>
                    </w:rPr>
                    <w:t>锅炉燃烧</w:t>
                  </w:r>
                </w:p>
              </w:tc>
              <w:tc>
                <w:tcPr>
                  <w:tcW w:w="1335" w:type="dxa"/>
                  <w:vMerge w:val="restart"/>
                  <w:vAlign w:val="center"/>
                </w:tcPr>
                <w:p>
                  <w:pPr>
                    <w:autoSpaceDE w:val="0"/>
                    <w:adjustRightInd w:val="0"/>
                    <w:snapToGrid w:val="0"/>
                    <w:spacing w:line="280" w:lineRule="exact"/>
                    <w:jc w:val="center"/>
                    <w:rPr>
                      <w:sz w:val="18"/>
                      <w:szCs w:val="18"/>
                    </w:rPr>
                  </w:pPr>
                  <w:r>
                    <w:rPr>
                      <w:rFonts w:hint="eastAsia" w:ascii="宋体" w:hAnsi="宋体"/>
                      <w:sz w:val="18"/>
                      <w:szCs w:val="18"/>
                    </w:rPr>
                    <w:t>燃气锅炉</w:t>
                  </w:r>
                  <w:r>
                    <w:rPr>
                      <w:sz w:val="18"/>
                      <w:szCs w:val="18"/>
                    </w:rPr>
                    <w:t>MF0001</w:t>
                  </w:r>
                </w:p>
              </w:tc>
              <w:tc>
                <w:tcPr>
                  <w:tcW w:w="577" w:type="dxa"/>
                  <w:vAlign w:val="center"/>
                </w:tcPr>
                <w:p>
                  <w:pPr>
                    <w:autoSpaceDE w:val="0"/>
                    <w:adjustRightInd w:val="0"/>
                    <w:snapToGrid w:val="0"/>
                    <w:spacing w:line="280" w:lineRule="exact"/>
                    <w:ind w:left="-105" w:leftChars="-50" w:right="-105" w:rightChars="-50"/>
                    <w:jc w:val="center"/>
                    <w:rPr>
                      <w:sz w:val="18"/>
                      <w:szCs w:val="18"/>
                    </w:rPr>
                  </w:pPr>
                  <w:r>
                    <w:rPr>
                      <w:sz w:val="18"/>
                      <w:szCs w:val="18"/>
                    </w:rPr>
                    <w:t>SO</w:t>
                  </w:r>
                  <w:r>
                    <w:rPr>
                      <w:sz w:val="18"/>
                      <w:szCs w:val="18"/>
                      <w:vertAlign w:val="subscript"/>
                    </w:rPr>
                    <w:t>2</w:t>
                  </w:r>
                </w:p>
              </w:tc>
              <w:tc>
                <w:tcPr>
                  <w:tcW w:w="631" w:type="dxa"/>
                  <w:vAlign w:val="center"/>
                </w:tcPr>
                <w:p>
                  <w:pPr>
                    <w:autoSpaceDE w:val="0"/>
                    <w:adjustRightInd w:val="0"/>
                    <w:snapToGrid w:val="0"/>
                    <w:spacing w:line="280" w:lineRule="exact"/>
                    <w:jc w:val="center"/>
                    <w:rPr>
                      <w:sz w:val="18"/>
                      <w:szCs w:val="18"/>
                    </w:rPr>
                  </w:pPr>
                  <w:r>
                    <w:rPr>
                      <w:rFonts w:hint="eastAsia" w:ascii="宋体" w:hAnsi="宋体"/>
                      <w:sz w:val="18"/>
                      <w:szCs w:val="18"/>
                    </w:rPr>
                    <w:t>有</w:t>
                  </w:r>
                  <w:r>
                    <w:rPr>
                      <w:rFonts w:ascii="宋体" w:hAnsi="宋体"/>
                      <w:sz w:val="18"/>
                      <w:szCs w:val="18"/>
                    </w:rPr>
                    <w:t>组织</w:t>
                  </w:r>
                </w:p>
              </w:tc>
              <w:tc>
                <w:tcPr>
                  <w:tcW w:w="1458" w:type="dxa"/>
                  <w:vMerge w:val="restart"/>
                  <w:vAlign w:val="center"/>
                </w:tcPr>
                <w:p>
                  <w:pPr>
                    <w:autoSpaceDE w:val="0"/>
                    <w:adjustRightInd w:val="0"/>
                    <w:snapToGrid w:val="0"/>
                    <w:spacing w:line="280" w:lineRule="exact"/>
                    <w:jc w:val="center"/>
                    <w:rPr>
                      <w:kern w:val="0"/>
                      <w:sz w:val="18"/>
                      <w:szCs w:val="18"/>
                    </w:rPr>
                  </w:pPr>
                  <w:r>
                    <w:rPr>
                      <w:rFonts w:hint="eastAsia" w:ascii="宋体" w:hAnsi="宋体"/>
                      <w:kern w:val="0"/>
                      <w:sz w:val="18"/>
                      <w:szCs w:val="18"/>
                    </w:rPr>
                    <w:t>低氮燃烧器</w:t>
                  </w:r>
                  <w:r>
                    <w:rPr>
                      <w:rFonts w:hint="eastAsia"/>
                      <w:kern w:val="0"/>
                      <w:sz w:val="18"/>
                      <w:szCs w:val="18"/>
                    </w:rPr>
                    <w:t>+12m</w:t>
                  </w:r>
                  <w:r>
                    <w:rPr>
                      <w:rFonts w:hint="eastAsia" w:ascii="宋体" w:hAnsi="宋体"/>
                      <w:kern w:val="0"/>
                      <w:sz w:val="18"/>
                      <w:szCs w:val="18"/>
                    </w:rPr>
                    <w:t>高排气筒排放</w:t>
                  </w:r>
                </w:p>
              </w:tc>
              <w:tc>
                <w:tcPr>
                  <w:tcW w:w="1341" w:type="dxa"/>
                  <w:vMerge w:val="restart"/>
                  <w:vAlign w:val="center"/>
                </w:tcPr>
                <w:p>
                  <w:pPr>
                    <w:autoSpaceDE w:val="0"/>
                    <w:adjustRightInd w:val="0"/>
                    <w:snapToGrid w:val="0"/>
                    <w:spacing w:line="280" w:lineRule="exact"/>
                    <w:jc w:val="center"/>
                    <w:rPr>
                      <w:sz w:val="18"/>
                      <w:szCs w:val="18"/>
                    </w:rPr>
                  </w:pPr>
                  <w:r>
                    <w:rPr>
                      <w:rFonts w:ascii="宋体" w:hAnsi="宋体"/>
                      <w:sz w:val="18"/>
                      <w:szCs w:val="18"/>
                    </w:rPr>
                    <w:t>是</w:t>
                  </w:r>
                </w:p>
              </w:tc>
              <w:tc>
                <w:tcPr>
                  <w:tcW w:w="672" w:type="dxa"/>
                  <w:vMerge w:val="restart"/>
                  <w:vAlign w:val="center"/>
                </w:tcPr>
                <w:p>
                  <w:pPr>
                    <w:autoSpaceDE w:val="0"/>
                    <w:adjustRightInd w:val="0"/>
                    <w:snapToGrid w:val="0"/>
                    <w:spacing w:line="280" w:lineRule="exact"/>
                    <w:jc w:val="center"/>
                    <w:rPr>
                      <w:sz w:val="18"/>
                      <w:szCs w:val="18"/>
                    </w:rPr>
                  </w:pPr>
                  <w:r>
                    <w:rPr>
                      <w:rFonts w:ascii="宋体" w:hAnsi="宋体"/>
                      <w:sz w:val="18"/>
                      <w:szCs w:val="18"/>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961" w:type="dxa"/>
                  <w:vMerge w:val="continue"/>
                  <w:vAlign w:val="center"/>
                </w:tcPr>
                <w:p>
                  <w:pPr>
                    <w:widowControl/>
                    <w:jc w:val="left"/>
                    <w:rPr>
                      <w:sz w:val="18"/>
                      <w:szCs w:val="18"/>
                    </w:rPr>
                  </w:pPr>
                </w:p>
              </w:tc>
              <w:tc>
                <w:tcPr>
                  <w:tcW w:w="744" w:type="dxa"/>
                  <w:vMerge w:val="continue"/>
                  <w:vAlign w:val="center"/>
                </w:tcPr>
                <w:p>
                  <w:pPr>
                    <w:widowControl/>
                    <w:jc w:val="left"/>
                    <w:rPr>
                      <w:sz w:val="18"/>
                      <w:szCs w:val="18"/>
                    </w:rPr>
                  </w:pPr>
                </w:p>
              </w:tc>
              <w:tc>
                <w:tcPr>
                  <w:tcW w:w="1335" w:type="dxa"/>
                  <w:vMerge w:val="continue"/>
                  <w:vAlign w:val="center"/>
                </w:tcPr>
                <w:p>
                  <w:pPr>
                    <w:widowControl/>
                    <w:jc w:val="left"/>
                    <w:rPr>
                      <w:sz w:val="18"/>
                      <w:szCs w:val="18"/>
                    </w:rPr>
                  </w:pPr>
                </w:p>
              </w:tc>
              <w:tc>
                <w:tcPr>
                  <w:tcW w:w="577" w:type="dxa"/>
                  <w:vAlign w:val="center"/>
                </w:tcPr>
                <w:p>
                  <w:pPr>
                    <w:autoSpaceDE w:val="0"/>
                    <w:adjustRightInd w:val="0"/>
                    <w:snapToGrid w:val="0"/>
                    <w:spacing w:line="280" w:lineRule="exact"/>
                    <w:ind w:left="-105" w:leftChars="-50" w:right="-105" w:rightChars="-50"/>
                    <w:jc w:val="center"/>
                    <w:rPr>
                      <w:sz w:val="18"/>
                      <w:szCs w:val="18"/>
                    </w:rPr>
                  </w:pPr>
                  <w:r>
                    <w:rPr>
                      <w:sz w:val="18"/>
                      <w:szCs w:val="18"/>
                    </w:rPr>
                    <w:t>NOx</w:t>
                  </w:r>
                </w:p>
              </w:tc>
              <w:tc>
                <w:tcPr>
                  <w:tcW w:w="631" w:type="dxa"/>
                  <w:vAlign w:val="center"/>
                </w:tcPr>
                <w:p>
                  <w:pPr>
                    <w:autoSpaceDE w:val="0"/>
                    <w:adjustRightInd w:val="0"/>
                    <w:snapToGrid w:val="0"/>
                    <w:spacing w:line="280" w:lineRule="exact"/>
                    <w:jc w:val="center"/>
                    <w:rPr>
                      <w:sz w:val="18"/>
                      <w:szCs w:val="18"/>
                    </w:rPr>
                  </w:pPr>
                  <w:r>
                    <w:rPr>
                      <w:rFonts w:hint="eastAsia" w:ascii="宋体" w:hAnsi="宋体"/>
                      <w:sz w:val="18"/>
                      <w:szCs w:val="18"/>
                    </w:rPr>
                    <w:t>有</w:t>
                  </w:r>
                  <w:r>
                    <w:rPr>
                      <w:rFonts w:ascii="宋体" w:hAnsi="宋体"/>
                      <w:sz w:val="18"/>
                      <w:szCs w:val="18"/>
                    </w:rPr>
                    <w:t>组织</w:t>
                  </w:r>
                </w:p>
              </w:tc>
              <w:tc>
                <w:tcPr>
                  <w:tcW w:w="1458" w:type="dxa"/>
                  <w:vMerge w:val="continue"/>
                  <w:vAlign w:val="center"/>
                </w:tcPr>
                <w:p>
                  <w:pPr>
                    <w:widowControl/>
                    <w:jc w:val="left"/>
                    <w:rPr>
                      <w:kern w:val="0"/>
                      <w:sz w:val="18"/>
                      <w:szCs w:val="18"/>
                    </w:rPr>
                  </w:pPr>
                </w:p>
              </w:tc>
              <w:tc>
                <w:tcPr>
                  <w:tcW w:w="1341" w:type="dxa"/>
                  <w:vMerge w:val="continue"/>
                  <w:vAlign w:val="center"/>
                </w:tcPr>
                <w:p>
                  <w:pPr>
                    <w:widowControl/>
                    <w:jc w:val="left"/>
                    <w:rPr>
                      <w:sz w:val="18"/>
                      <w:szCs w:val="18"/>
                    </w:rPr>
                  </w:pPr>
                </w:p>
              </w:tc>
              <w:tc>
                <w:tcPr>
                  <w:tcW w:w="672" w:type="dxa"/>
                  <w:vMerge w:val="continue"/>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961" w:type="dxa"/>
                  <w:vMerge w:val="continue"/>
                  <w:vAlign w:val="center"/>
                </w:tcPr>
                <w:p>
                  <w:pPr>
                    <w:widowControl/>
                    <w:jc w:val="left"/>
                    <w:rPr>
                      <w:sz w:val="18"/>
                      <w:szCs w:val="18"/>
                    </w:rPr>
                  </w:pPr>
                </w:p>
              </w:tc>
              <w:tc>
                <w:tcPr>
                  <w:tcW w:w="744" w:type="dxa"/>
                  <w:vMerge w:val="continue"/>
                  <w:vAlign w:val="center"/>
                </w:tcPr>
                <w:p>
                  <w:pPr>
                    <w:widowControl/>
                    <w:jc w:val="left"/>
                    <w:rPr>
                      <w:sz w:val="18"/>
                      <w:szCs w:val="18"/>
                    </w:rPr>
                  </w:pPr>
                </w:p>
              </w:tc>
              <w:tc>
                <w:tcPr>
                  <w:tcW w:w="1335" w:type="dxa"/>
                  <w:vMerge w:val="continue"/>
                  <w:vAlign w:val="center"/>
                </w:tcPr>
                <w:p>
                  <w:pPr>
                    <w:widowControl/>
                    <w:jc w:val="left"/>
                    <w:rPr>
                      <w:sz w:val="18"/>
                      <w:szCs w:val="18"/>
                    </w:rPr>
                  </w:pPr>
                </w:p>
              </w:tc>
              <w:tc>
                <w:tcPr>
                  <w:tcW w:w="577" w:type="dxa"/>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CO</w:t>
                  </w:r>
                </w:p>
              </w:tc>
              <w:tc>
                <w:tcPr>
                  <w:tcW w:w="631" w:type="dxa"/>
                  <w:vAlign w:val="center"/>
                </w:tcPr>
                <w:p>
                  <w:pPr>
                    <w:autoSpaceDE w:val="0"/>
                    <w:adjustRightInd w:val="0"/>
                    <w:snapToGrid w:val="0"/>
                    <w:spacing w:line="280" w:lineRule="exact"/>
                    <w:jc w:val="center"/>
                    <w:rPr>
                      <w:sz w:val="18"/>
                      <w:szCs w:val="18"/>
                    </w:rPr>
                  </w:pPr>
                  <w:r>
                    <w:rPr>
                      <w:rFonts w:ascii="宋体" w:hAnsi="宋体"/>
                      <w:sz w:val="18"/>
                      <w:szCs w:val="18"/>
                    </w:rPr>
                    <w:t>有组织</w:t>
                  </w:r>
                </w:p>
              </w:tc>
              <w:tc>
                <w:tcPr>
                  <w:tcW w:w="1458" w:type="dxa"/>
                  <w:vMerge w:val="continue"/>
                  <w:vAlign w:val="center"/>
                </w:tcPr>
                <w:p>
                  <w:pPr>
                    <w:widowControl/>
                    <w:jc w:val="left"/>
                    <w:rPr>
                      <w:kern w:val="0"/>
                      <w:sz w:val="18"/>
                      <w:szCs w:val="18"/>
                    </w:rPr>
                  </w:pPr>
                </w:p>
              </w:tc>
              <w:tc>
                <w:tcPr>
                  <w:tcW w:w="1341" w:type="dxa"/>
                  <w:vMerge w:val="continue"/>
                  <w:vAlign w:val="center"/>
                </w:tcPr>
                <w:p>
                  <w:pPr>
                    <w:widowControl/>
                    <w:jc w:val="left"/>
                    <w:rPr>
                      <w:sz w:val="18"/>
                      <w:szCs w:val="18"/>
                    </w:rPr>
                  </w:pPr>
                </w:p>
              </w:tc>
              <w:tc>
                <w:tcPr>
                  <w:tcW w:w="672" w:type="dxa"/>
                  <w:vMerge w:val="continue"/>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961" w:type="dxa"/>
                  <w:vMerge w:val="continue"/>
                  <w:vAlign w:val="center"/>
                </w:tcPr>
                <w:p>
                  <w:pPr>
                    <w:widowControl/>
                    <w:jc w:val="left"/>
                    <w:rPr>
                      <w:sz w:val="18"/>
                      <w:szCs w:val="18"/>
                    </w:rPr>
                  </w:pPr>
                </w:p>
              </w:tc>
              <w:tc>
                <w:tcPr>
                  <w:tcW w:w="744" w:type="dxa"/>
                  <w:vMerge w:val="continue"/>
                  <w:vAlign w:val="center"/>
                </w:tcPr>
                <w:p>
                  <w:pPr>
                    <w:widowControl/>
                    <w:jc w:val="left"/>
                    <w:rPr>
                      <w:sz w:val="18"/>
                      <w:szCs w:val="18"/>
                    </w:rPr>
                  </w:pPr>
                </w:p>
              </w:tc>
              <w:tc>
                <w:tcPr>
                  <w:tcW w:w="1335" w:type="dxa"/>
                  <w:vMerge w:val="continue"/>
                  <w:vAlign w:val="center"/>
                </w:tcPr>
                <w:p>
                  <w:pPr>
                    <w:widowControl/>
                    <w:jc w:val="left"/>
                    <w:rPr>
                      <w:sz w:val="18"/>
                      <w:szCs w:val="18"/>
                    </w:rPr>
                  </w:pPr>
                </w:p>
              </w:tc>
              <w:tc>
                <w:tcPr>
                  <w:tcW w:w="577" w:type="dxa"/>
                  <w:vAlign w:val="center"/>
                </w:tcPr>
                <w:p>
                  <w:pPr>
                    <w:autoSpaceDE w:val="0"/>
                    <w:adjustRightInd w:val="0"/>
                    <w:snapToGrid w:val="0"/>
                    <w:spacing w:line="280" w:lineRule="exact"/>
                    <w:ind w:left="-105" w:leftChars="-50" w:right="-105" w:rightChars="-50"/>
                    <w:jc w:val="center"/>
                    <w:rPr>
                      <w:sz w:val="18"/>
                      <w:szCs w:val="18"/>
                    </w:rPr>
                  </w:pPr>
                  <w:r>
                    <w:rPr>
                      <w:rFonts w:ascii="宋体" w:hAnsi="宋体"/>
                      <w:sz w:val="18"/>
                      <w:szCs w:val="18"/>
                    </w:rPr>
                    <w:t>烟尘</w:t>
                  </w:r>
                </w:p>
              </w:tc>
              <w:tc>
                <w:tcPr>
                  <w:tcW w:w="631" w:type="dxa"/>
                  <w:vAlign w:val="center"/>
                </w:tcPr>
                <w:p>
                  <w:pPr>
                    <w:autoSpaceDE w:val="0"/>
                    <w:adjustRightInd w:val="0"/>
                    <w:snapToGrid w:val="0"/>
                    <w:spacing w:line="280" w:lineRule="exact"/>
                    <w:jc w:val="center"/>
                    <w:rPr>
                      <w:sz w:val="18"/>
                      <w:szCs w:val="18"/>
                    </w:rPr>
                  </w:pPr>
                  <w:r>
                    <w:rPr>
                      <w:rFonts w:ascii="宋体" w:hAnsi="宋体"/>
                      <w:sz w:val="18"/>
                      <w:szCs w:val="18"/>
                    </w:rPr>
                    <w:t>有组织</w:t>
                  </w:r>
                </w:p>
              </w:tc>
              <w:tc>
                <w:tcPr>
                  <w:tcW w:w="1458" w:type="dxa"/>
                  <w:vMerge w:val="continue"/>
                  <w:vAlign w:val="center"/>
                </w:tcPr>
                <w:p>
                  <w:pPr>
                    <w:widowControl/>
                    <w:jc w:val="left"/>
                    <w:rPr>
                      <w:kern w:val="0"/>
                      <w:sz w:val="18"/>
                      <w:szCs w:val="18"/>
                    </w:rPr>
                  </w:pPr>
                </w:p>
              </w:tc>
              <w:tc>
                <w:tcPr>
                  <w:tcW w:w="1341" w:type="dxa"/>
                  <w:vMerge w:val="continue"/>
                  <w:vAlign w:val="center"/>
                </w:tcPr>
                <w:p>
                  <w:pPr>
                    <w:widowControl/>
                    <w:jc w:val="left"/>
                    <w:rPr>
                      <w:sz w:val="18"/>
                      <w:szCs w:val="18"/>
                    </w:rPr>
                  </w:pPr>
                </w:p>
              </w:tc>
              <w:tc>
                <w:tcPr>
                  <w:tcW w:w="672" w:type="dxa"/>
                  <w:vMerge w:val="continue"/>
                  <w:vAlign w:val="center"/>
                </w:tcPr>
                <w:p>
                  <w:pPr>
                    <w:widowControl/>
                    <w:jc w:val="left"/>
                    <w:rPr>
                      <w:sz w:val="18"/>
                      <w:szCs w:val="18"/>
                    </w:rPr>
                  </w:pPr>
                </w:p>
              </w:tc>
            </w:tr>
          </w:tbl>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w:t>
            </w:r>
            <w:r>
              <w:rPr>
                <w:rFonts w:hint="eastAsia" w:eastAsia="黑体"/>
                <w:kern w:val="0"/>
                <w:sz w:val="20"/>
                <w:szCs w:val="20"/>
              </w:rPr>
              <w:t>3</w:t>
            </w:r>
            <w:r>
              <w:rPr>
                <w:rFonts w:eastAsia="黑体"/>
                <w:kern w:val="0"/>
                <w:sz w:val="20"/>
                <w:szCs w:val="20"/>
              </w:rPr>
              <w:t xml:space="preserve">   </w:t>
            </w:r>
            <w:r>
              <w:rPr>
                <w:rFonts w:ascii="黑体" w:hAnsi="黑体" w:eastAsia="黑体"/>
                <w:kern w:val="0"/>
                <w:sz w:val="20"/>
                <w:szCs w:val="20"/>
              </w:rPr>
              <w:t>大气污染物有组织排放表</w:t>
            </w:r>
          </w:p>
          <w:tbl>
            <w:tblPr>
              <w:tblStyle w:val="21"/>
              <w:tblW w:w="7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2"/>
              <w:gridCol w:w="893"/>
              <w:gridCol w:w="487"/>
              <w:gridCol w:w="570"/>
              <w:gridCol w:w="636"/>
              <w:gridCol w:w="567"/>
              <w:gridCol w:w="708"/>
              <w:gridCol w:w="396"/>
              <w:gridCol w:w="418"/>
              <w:gridCol w:w="945"/>
              <w:gridCol w:w="567"/>
              <w:gridCol w:w="426"/>
              <w:gridCol w:w="425"/>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362"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序号</w:t>
                  </w:r>
                </w:p>
              </w:tc>
              <w:tc>
                <w:tcPr>
                  <w:tcW w:w="893"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生产设施编号</w:t>
                  </w:r>
                  <w:r>
                    <w:rPr>
                      <w:b/>
                      <w:bCs/>
                      <w:sz w:val="18"/>
                      <w:szCs w:val="18"/>
                    </w:rPr>
                    <w:t>/</w:t>
                  </w:r>
                  <w:r>
                    <w:rPr>
                      <w:rFonts w:hint="eastAsia" w:ascii="宋体" w:hAnsi="宋体"/>
                      <w:b/>
                      <w:bCs/>
                      <w:sz w:val="18"/>
                      <w:szCs w:val="18"/>
                    </w:rPr>
                    <w:t>有</w:t>
                  </w:r>
                  <w:r>
                    <w:rPr>
                      <w:rFonts w:ascii="宋体" w:hAnsi="宋体"/>
                      <w:b/>
                      <w:bCs/>
                      <w:sz w:val="18"/>
                      <w:szCs w:val="18"/>
                    </w:rPr>
                    <w:t>组织排放编号</w:t>
                  </w:r>
                </w:p>
              </w:tc>
              <w:tc>
                <w:tcPr>
                  <w:tcW w:w="487"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产污</w:t>
                  </w:r>
                </w:p>
                <w:p>
                  <w:pPr>
                    <w:autoSpaceDE w:val="0"/>
                    <w:adjustRightInd w:val="0"/>
                    <w:snapToGrid w:val="0"/>
                    <w:spacing w:line="260" w:lineRule="exact"/>
                    <w:jc w:val="center"/>
                    <w:rPr>
                      <w:b/>
                      <w:bCs/>
                      <w:sz w:val="18"/>
                      <w:szCs w:val="18"/>
                    </w:rPr>
                  </w:pPr>
                  <w:r>
                    <w:rPr>
                      <w:rFonts w:ascii="宋体" w:hAnsi="宋体"/>
                      <w:b/>
                      <w:bCs/>
                      <w:sz w:val="18"/>
                      <w:szCs w:val="18"/>
                    </w:rPr>
                    <w:t>环节</w:t>
                  </w:r>
                </w:p>
              </w:tc>
              <w:tc>
                <w:tcPr>
                  <w:tcW w:w="570"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污染物种类</w:t>
                  </w:r>
                </w:p>
              </w:tc>
              <w:tc>
                <w:tcPr>
                  <w:tcW w:w="1911" w:type="dxa"/>
                  <w:gridSpan w:val="3"/>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排放情况</w:t>
                  </w:r>
                </w:p>
              </w:tc>
              <w:tc>
                <w:tcPr>
                  <w:tcW w:w="3177" w:type="dxa"/>
                  <w:gridSpan w:val="6"/>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排放口信息</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其他</w:t>
                  </w:r>
                </w:p>
                <w:p>
                  <w:pPr>
                    <w:autoSpaceDE w:val="0"/>
                    <w:adjustRightInd w:val="0"/>
                    <w:snapToGrid w:val="0"/>
                    <w:spacing w:line="260" w:lineRule="exact"/>
                    <w:jc w:val="center"/>
                    <w:rPr>
                      <w:b/>
                      <w:bCs/>
                      <w:sz w:val="18"/>
                      <w:szCs w:val="18"/>
                    </w:rPr>
                  </w:pPr>
                  <w:r>
                    <w:rPr>
                      <w:rFonts w:ascii="宋体" w:hAnsi="宋体"/>
                      <w:b/>
                      <w:bCs/>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jc w:val="center"/>
              </w:trPr>
              <w:tc>
                <w:tcPr>
                  <w:tcW w:w="36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4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57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63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量</w:t>
                  </w:r>
                </w:p>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w:t>
                  </w:r>
                  <w:r>
                    <w:rPr>
                      <w:rFonts w:hint="eastAsia"/>
                      <w:b/>
                      <w:bCs/>
                      <w:sz w:val="18"/>
                      <w:szCs w:val="18"/>
                    </w:rPr>
                    <w:t>t/a</w:t>
                  </w:r>
                  <w:r>
                    <w:rPr>
                      <w:rFonts w:hint="eastAsia" w:ascii="宋体" w:hAnsi="宋体"/>
                      <w:b/>
                      <w:bCs/>
                      <w:sz w:val="18"/>
                      <w:szCs w:val="18"/>
                    </w:rPr>
                    <w:t>）</w:t>
                  </w:r>
                </w:p>
              </w:tc>
              <w:tc>
                <w:tcPr>
                  <w:tcW w:w="567"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速率</w:t>
                  </w:r>
                </w:p>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w:t>
                  </w:r>
                  <w:r>
                    <w:rPr>
                      <w:rFonts w:hint="eastAsia"/>
                      <w:b/>
                      <w:bCs/>
                      <w:sz w:val="18"/>
                      <w:szCs w:val="18"/>
                    </w:rPr>
                    <w:t>kg/h</w:t>
                  </w:r>
                  <w:r>
                    <w:rPr>
                      <w:rFonts w:hint="eastAsia" w:ascii="宋体" w:hAnsi="宋体"/>
                      <w:b/>
                      <w:bCs/>
                      <w:sz w:val="18"/>
                      <w:szCs w:val="18"/>
                    </w:rPr>
                    <w:t>）</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b/>
                      <w:bCs/>
                      <w:sz w:val="18"/>
                      <w:szCs w:val="18"/>
                    </w:rPr>
                  </w:pPr>
                  <w:r>
                    <w:rPr>
                      <w:rFonts w:ascii="宋体" w:hAnsi="宋体"/>
                      <w:b/>
                      <w:bCs/>
                      <w:sz w:val="18"/>
                      <w:szCs w:val="18"/>
                    </w:rPr>
                    <w:t>浓度</w:t>
                  </w:r>
                </w:p>
                <w:p>
                  <w:pPr>
                    <w:autoSpaceDE w:val="0"/>
                    <w:adjustRightInd w:val="0"/>
                    <w:snapToGrid w:val="0"/>
                    <w:spacing w:line="280" w:lineRule="exact"/>
                    <w:ind w:left="-105" w:leftChars="-50" w:right="-105" w:rightChars="-50"/>
                    <w:jc w:val="center"/>
                    <w:rPr>
                      <w:b/>
                      <w:bCs/>
                      <w:sz w:val="18"/>
                      <w:szCs w:val="18"/>
                    </w:rPr>
                  </w:pPr>
                  <w:r>
                    <w:rPr>
                      <w:rFonts w:hint="eastAsia" w:ascii="宋体" w:hAnsi="宋体"/>
                      <w:b/>
                      <w:bCs/>
                      <w:sz w:val="18"/>
                      <w:szCs w:val="18"/>
                    </w:rPr>
                    <w:t>（</w:t>
                  </w:r>
                  <w:r>
                    <w:rPr>
                      <w:b/>
                      <w:bCs/>
                      <w:sz w:val="18"/>
                      <w:szCs w:val="18"/>
                    </w:rPr>
                    <w:t>mg/m</w:t>
                  </w:r>
                  <w:r>
                    <w:rPr>
                      <w:b/>
                      <w:bCs/>
                      <w:sz w:val="18"/>
                      <w:szCs w:val="18"/>
                      <w:vertAlign w:val="superscript"/>
                    </w:rPr>
                    <w:t>3</w:t>
                  </w:r>
                  <w:r>
                    <w:rPr>
                      <w:rFonts w:hint="eastAsia" w:ascii="宋体" w:hAnsi="宋体"/>
                      <w:b/>
                      <w:bCs/>
                      <w:sz w:val="18"/>
                      <w:szCs w:val="18"/>
                    </w:rPr>
                    <w:t>）</w:t>
                  </w:r>
                </w:p>
              </w:tc>
              <w:tc>
                <w:tcPr>
                  <w:tcW w:w="39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编号</w:t>
                  </w:r>
                </w:p>
              </w:tc>
              <w:tc>
                <w:tcPr>
                  <w:tcW w:w="41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类型</w:t>
                  </w:r>
                </w:p>
              </w:tc>
              <w:tc>
                <w:tcPr>
                  <w:tcW w:w="94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坐标</w:t>
                  </w:r>
                </w:p>
              </w:tc>
              <w:tc>
                <w:tcPr>
                  <w:tcW w:w="567"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高度</w:t>
                  </w:r>
                </w:p>
              </w:tc>
              <w:tc>
                <w:tcPr>
                  <w:tcW w:w="42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内径</w:t>
                  </w:r>
                </w:p>
              </w:tc>
              <w:tc>
                <w:tcPr>
                  <w:tcW w:w="425"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b/>
                      <w:bCs/>
                      <w:sz w:val="18"/>
                      <w:szCs w:val="18"/>
                    </w:rPr>
                  </w:pPr>
                  <w:r>
                    <w:rPr>
                      <w:rFonts w:ascii="宋体" w:hAnsi="宋体"/>
                      <w:b/>
                      <w:bCs/>
                      <w:sz w:val="18"/>
                      <w:szCs w:val="18"/>
                    </w:rPr>
                    <w:t>温度</w:t>
                  </w: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 w:hRule="atLeast"/>
                <w:jc w:val="center"/>
              </w:trPr>
              <w:tc>
                <w:tcPr>
                  <w:tcW w:w="362"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sz w:val="18"/>
                      <w:szCs w:val="18"/>
                    </w:rPr>
                    <w:t>1</w:t>
                  </w:r>
                </w:p>
              </w:tc>
              <w:tc>
                <w:tcPr>
                  <w:tcW w:w="893"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rFonts w:ascii="宋体" w:hAnsi="宋体"/>
                      <w:sz w:val="18"/>
                      <w:szCs w:val="18"/>
                    </w:rPr>
                    <w:t>燃气锅炉</w:t>
                  </w:r>
                  <w:r>
                    <w:rPr>
                      <w:sz w:val="18"/>
                      <w:szCs w:val="18"/>
                    </w:rPr>
                    <w:t>MF0001</w:t>
                  </w:r>
                </w:p>
              </w:tc>
              <w:tc>
                <w:tcPr>
                  <w:tcW w:w="487"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rFonts w:hint="eastAsia" w:ascii="宋体" w:hAnsi="宋体"/>
                      <w:sz w:val="18"/>
                      <w:szCs w:val="18"/>
                    </w:rPr>
                    <w:t>锅炉燃烧</w:t>
                  </w:r>
                </w:p>
              </w:tc>
              <w:tc>
                <w:tcPr>
                  <w:tcW w:w="570"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sz w:val="18"/>
                      <w:szCs w:val="18"/>
                    </w:rPr>
                    <w:t>SO</w:t>
                  </w:r>
                  <w:r>
                    <w:rPr>
                      <w:sz w:val="18"/>
                      <w:szCs w:val="18"/>
                      <w:vertAlign w:val="subscript"/>
                    </w:rPr>
                    <w:t>2</w:t>
                  </w:r>
                </w:p>
              </w:tc>
              <w:tc>
                <w:tcPr>
                  <w:tcW w:w="63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jc w:val="center"/>
                    <w:rPr>
                      <w:sz w:val="18"/>
                      <w:szCs w:val="18"/>
                    </w:rPr>
                  </w:pPr>
                  <w:r>
                    <w:rPr>
                      <w:rFonts w:hint="eastAsia"/>
                      <w:sz w:val="18"/>
                      <w:szCs w:val="18"/>
                    </w:rPr>
                    <w:t>0.0044</w:t>
                  </w:r>
                </w:p>
              </w:tc>
              <w:tc>
                <w:tcPr>
                  <w:tcW w:w="567"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jc w:val="center"/>
                    <w:rPr>
                      <w:sz w:val="18"/>
                      <w:szCs w:val="18"/>
                    </w:rPr>
                  </w:pPr>
                  <w:r>
                    <w:rPr>
                      <w:rFonts w:hint="eastAsia"/>
                      <w:sz w:val="18"/>
                      <w:szCs w:val="18"/>
                    </w:rPr>
                    <w:t>0.0061</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jc w:val="center"/>
                    <w:rPr>
                      <w:sz w:val="18"/>
                      <w:szCs w:val="18"/>
                    </w:rPr>
                  </w:pPr>
                  <w:r>
                    <w:rPr>
                      <w:rFonts w:hint="eastAsia"/>
                      <w:sz w:val="18"/>
                      <w:szCs w:val="18"/>
                    </w:rPr>
                    <w:t>3.679</w:t>
                  </w:r>
                </w:p>
              </w:tc>
              <w:tc>
                <w:tcPr>
                  <w:tcW w:w="396"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sz w:val="18"/>
                      <w:szCs w:val="18"/>
                    </w:rPr>
                    <w:t>DA001</w:t>
                  </w:r>
                </w:p>
              </w:tc>
              <w:tc>
                <w:tcPr>
                  <w:tcW w:w="418"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rFonts w:ascii="宋体" w:hAnsi="宋体"/>
                      <w:sz w:val="18"/>
                      <w:szCs w:val="18"/>
                    </w:rPr>
                    <w:t>一般</w:t>
                  </w:r>
                </w:p>
                <w:p>
                  <w:pPr>
                    <w:autoSpaceDE w:val="0"/>
                    <w:adjustRightInd w:val="0"/>
                    <w:snapToGrid w:val="0"/>
                    <w:spacing w:line="260" w:lineRule="exact"/>
                    <w:jc w:val="center"/>
                    <w:rPr>
                      <w:sz w:val="18"/>
                      <w:szCs w:val="18"/>
                    </w:rPr>
                  </w:pPr>
                  <w:r>
                    <w:rPr>
                      <w:rFonts w:ascii="宋体" w:hAnsi="宋体"/>
                      <w:sz w:val="18"/>
                      <w:szCs w:val="18"/>
                    </w:rPr>
                    <w:t>排口</w:t>
                  </w:r>
                </w:p>
              </w:tc>
              <w:tc>
                <w:tcPr>
                  <w:tcW w:w="945"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rFonts w:hint="eastAsia"/>
                      <w:sz w:val="18"/>
                      <w:szCs w:val="18"/>
                    </w:rPr>
                    <w:t>E107°29′41.30″,N31°19′44.07″</w:t>
                  </w:r>
                </w:p>
              </w:tc>
              <w:tc>
                <w:tcPr>
                  <w:tcW w:w="567"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sz w:val="18"/>
                      <w:szCs w:val="18"/>
                    </w:rPr>
                    <w:t>1</w:t>
                  </w:r>
                  <w:r>
                    <w:rPr>
                      <w:rFonts w:hint="eastAsia"/>
                      <w:sz w:val="18"/>
                      <w:szCs w:val="18"/>
                    </w:rPr>
                    <w:t>2</w:t>
                  </w:r>
                  <w:r>
                    <w:rPr>
                      <w:sz w:val="18"/>
                      <w:szCs w:val="18"/>
                    </w:rPr>
                    <w:t>m</w:t>
                  </w:r>
                </w:p>
              </w:tc>
              <w:tc>
                <w:tcPr>
                  <w:tcW w:w="426"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sz w:val="18"/>
                      <w:szCs w:val="18"/>
                    </w:rPr>
                    <w:t>0.</w:t>
                  </w:r>
                  <w:r>
                    <w:rPr>
                      <w:rFonts w:hint="eastAsia"/>
                      <w:sz w:val="18"/>
                      <w:szCs w:val="18"/>
                    </w:rPr>
                    <w:t>2</w:t>
                  </w:r>
                  <w:r>
                    <w:rPr>
                      <w:sz w:val="18"/>
                      <w:szCs w:val="18"/>
                    </w:rPr>
                    <w:t>m</w:t>
                  </w:r>
                </w:p>
              </w:tc>
              <w:tc>
                <w:tcPr>
                  <w:tcW w:w="425"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rFonts w:hint="eastAsia"/>
                      <w:sz w:val="18"/>
                      <w:szCs w:val="18"/>
                    </w:rPr>
                    <w:t>35</w:t>
                  </w:r>
                  <w:r>
                    <w:rPr>
                      <w:sz w:val="18"/>
                      <w:szCs w:val="18"/>
                    </w:rPr>
                    <w:t>℃</w:t>
                  </w:r>
                </w:p>
              </w:tc>
              <w:tc>
                <w:tcPr>
                  <w:tcW w:w="425"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26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362"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893"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87"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70"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sz w:val="18"/>
                      <w:szCs w:val="18"/>
                    </w:rPr>
                    <w:t>NOx</w:t>
                  </w:r>
                </w:p>
              </w:tc>
              <w:tc>
                <w:tcPr>
                  <w:tcW w:w="636" w:type="dxa"/>
                  <w:tcBorders>
                    <w:top w:val="single" w:color="auto" w:sz="4" w:space="0"/>
                    <w:left w:val="single" w:color="auto" w:sz="4" w:space="0"/>
                    <w:bottom w:val="single" w:color="auto" w:sz="4" w:space="0"/>
                    <w:right w:val="single" w:color="auto" w:sz="4" w:space="0"/>
                  </w:tcBorders>
                  <w:vAlign w:val="bottom"/>
                </w:tcPr>
                <w:p>
                  <w:pPr>
                    <w:autoSpaceDE w:val="0"/>
                    <w:adjustRightInd w:val="0"/>
                    <w:snapToGrid w:val="0"/>
                    <w:spacing w:line="280" w:lineRule="exact"/>
                    <w:jc w:val="center"/>
                    <w:rPr>
                      <w:sz w:val="18"/>
                      <w:szCs w:val="18"/>
                    </w:rPr>
                  </w:pPr>
                  <w:r>
                    <w:rPr>
                      <w:rFonts w:hint="eastAsia"/>
                      <w:sz w:val="18"/>
                      <w:szCs w:val="18"/>
                    </w:rPr>
                    <w:t>0.0525</w:t>
                  </w:r>
                </w:p>
              </w:tc>
              <w:tc>
                <w:tcPr>
                  <w:tcW w:w="567" w:type="dxa"/>
                  <w:tcBorders>
                    <w:top w:val="single" w:color="auto" w:sz="4" w:space="0"/>
                    <w:left w:val="single" w:color="auto" w:sz="4" w:space="0"/>
                    <w:bottom w:val="single" w:color="auto" w:sz="4" w:space="0"/>
                    <w:right w:val="single" w:color="auto" w:sz="4" w:space="0"/>
                  </w:tcBorders>
                  <w:vAlign w:val="bottom"/>
                </w:tcPr>
                <w:p>
                  <w:pPr>
                    <w:autoSpaceDE w:val="0"/>
                    <w:adjustRightInd w:val="0"/>
                    <w:snapToGrid w:val="0"/>
                    <w:spacing w:line="280" w:lineRule="exact"/>
                    <w:jc w:val="center"/>
                    <w:rPr>
                      <w:sz w:val="18"/>
                      <w:szCs w:val="18"/>
                    </w:rPr>
                  </w:pPr>
                  <w:r>
                    <w:rPr>
                      <w:rFonts w:hint="eastAsia"/>
                      <w:sz w:val="18"/>
                      <w:szCs w:val="18"/>
                    </w:rPr>
                    <w:t>0.073</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jc w:val="center"/>
                    <w:rPr>
                      <w:sz w:val="18"/>
                      <w:szCs w:val="18"/>
                    </w:rPr>
                  </w:pPr>
                  <w:r>
                    <w:rPr>
                      <w:rFonts w:hint="eastAsia"/>
                      <w:sz w:val="18"/>
                      <w:szCs w:val="18"/>
                    </w:rPr>
                    <w:t>43.94</w:t>
                  </w:r>
                </w:p>
              </w:tc>
              <w:tc>
                <w:tcPr>
                  <w:tcW w:w="396"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18"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362"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893"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87"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70"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hint="eastAsia"/>
                      <w:sz w:val="18"/>
                      <w:szCs w:val="18"/>
                    </w:rPr>
                    <w:t>CO</w:t>
                  </w:r>
                </w:p>
              </w:tc>
              <w:tc>
                <w:tcPr>
                  <w:tcW w:w="636" w:type="dxa"/>
                  <w:tcBorders>
                    <w:top w:val="single" w:color="auto" w:sz="4" w:space="0"/>
                    <w:left w:val="single" w:color="auto" w:sz="4" w:space="0"/>
                    <w:bottom w:val="single" w:color="auto" w:sz="4" w:space="0"/>
                    <w:right w:val="single" w:color="auto" w:sz="4" w:space="0"/>
                  </w:tcBorders>
                  <w:vAlign w:val="bottom"/>
                </w:tcPr>
                <w:p>
                  <w:pPr>
                    <w:autoSpaceDE w:val="0"/>
                    <w:adjustRightInd w:val="0"/>
                    <w:snapToGrid w:val="0"/>
                    <w:spacing w:line="280" w:lineRule="exact"/>
                    <w:jc w:val="center"/>
                    <w:rPr>
                      <w:sz w:val="18"/>
                      <w:szCs w:val="18"/>
                    </w:rPr>
                  </w:pPr>
                  <w:r>
                    <w:rPr>
                      <w:rFonts w:hint="eastAsia"/>
                      <w:sz w:val="18"/>
                      <w:szCs w:val="18"/>
                    </w:rPr>
                    <w:t>0.0097</w:t>
                  </w:r>
                </w:p>
              </w:tc>
              <w:tc>
                <w:tcPr>
                  <w:tcW w:w="567" w:type="dxa"/>
                  <w:tcBorders>
                    <w:top w:val="single" w:color="auto" w:sz="4" w:space="0"/>
                    <w:left w:val="single" w:color="auto" w:sz="4" w:space="0"/>
                    <w:bottom w:val="single" w:color="auto" w:sz="4" w:space="0"/>
                    <w:right w:val="single" w:color="auto" w:sz="4" w:space="0"/>
                  </w:tcBorders>
                  <w:vAlign w:val="bottom"/>
                </w:tcPr>
                <w:p>
                  <w:pPr>
                    <w:autoSpaceDE w:val="0"/>
                    <w:adjustRightInd w:val="0"/>
                    <w:snapToGrid w:val="0"/>
                    <w:spacing w:line="280" w:lineRule="exact"/>
                    <w:jc w:val="center"/>
                    <w:rPr>
                      <w:sz w:val="18"/>
                      <w:szCs w:val="18"/>
                    </w:rPr>
                  </w:pPr>
                  <w:r>
                    <w:rPr>
                      <w:rFonts w:hint="eastAsia"/>
                      <w:sz w:val="18"/>
                      <w:szCs w:val="18"/>
                    </w:rPr>
                    <w:t>0.0135</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jc w:val="center"/>
                    <w:rPr>
                      <w:sz w:val="18"/>
                      <w:szCs w:val="18"/>
                    </w:rPr>
                  </w:pPr>
                  <w:r>
                    <w:rPr>
                      <w:rFonts w:hint="eastAsia"/>
                      <w:sz w:val="18"/>
                      <w:szCs w:val="18"/>
                    </w:rPr>
                    <w:t>8.17</w:t>
                  </w:r>
                </w:p>
              </w:tc>
              <w:tc>
                <w:tcPr>
                  <w:tcW w:w="396"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18"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362"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893"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87"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70"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105" w:leftChars="-50" w:right="-105" w:rightChars="-50"/>
                    <w:jc w:val="center"/>
                    <w:rPr>
                      <w:sz w:val="18"/>
                      <w:szCs w:val="18"/>
                    </w:rPr>
                  </w:pPr>
                  <w:r>
                    <w:rPr>
                      <w:rFonts w:ascii="宋体" w:hAnsi="宋体"/>
                      <w:sz w:val="18"/>
                      <w:szCs w:val="18"/>
                    </w:rPr>
                    <w:t>烟尘</w:t>
                  </w:r>
                </w:p>
              </w:tc>
              <w:tc>
                <w:tcPr>
                  <w:tcW w:w="636" w:type="dxa"/>
                  <w:tcBorders>
                    <w:top w:val="single" w:color="auto" w:sz="4" w:space="0"/>
                    <w:left w:val="single" w:color="auto" w:sz="4" w:space="0"/>
                    <w:bottom w:val="single" w:color="auto" w:sz="4" w:space="0"/>
                    <w:right w:val="single" w:color="auto" w:sz="4" w:space="0"/>
                  </w:tcBorders>
                  <w:vAlign w:val="bottom"/>
                </w:tcPr>
                <w:p>
                  <w:pPr>
                    <w:autoSpaceDE w:val="0"/>
                    <w:adjustRightInd w:val="0"/>
                    <w:snapToGrid w:val="0"/>
                    <w:spacing w:line="280" w:lineRule="exact"/>
                    <w:jc w:val="center"/>
                    <w:rPr>
                      <w:sz w:val="18"/>
                      <w:szCs w:val="18"/>
                    </w:rPr>
                  </w:pPr>
                  <w:r>
                    <w:rPr>
                      <w:rFonts w:hint="eastAsia"/>
                      <w:sz w:val="18"/>
                      <w:szCs w:val="18"/>
                    </w:rPr>
                    <w:t>0.0044</w:t>
                  </w:r>
                </w:p>
              </w:tc>
              <w:tc>
                <w:tcPr>
                  <w:tcW w:w="567" w:type="dxa"/>
                  <w:tcBorders>
                    <w:top w:val="single" w:color="auto" w:sz="4" w:space="0"/>
                    <w:left w:val="single" w:color="auto" w:sz="4" w:space="0"/>
                    <w:bottom w:val="single" w:color="auto" w:sz="4" w:space="0"/>
                    <w:right w:val="single" w:color="auto" w:sz="4" w:space="0"/>
                  </w:tcBorders>
                  <w:vAlign w:val="bottom"/>
                </w:tcPr>
                <w:p>
                  <w:pPr>
                    <w:autoSpaceDE w:val="0"/>
                    <w:adjustRightInd w:val="0"/>
                    <w:snapToGrid w:val="0"/>
                    <w:spacing w:line="280" w:lineRule="exact"/>
                    <w:jc w:val="center"/>
                    <w:rPr>
                      <w:sz w:val="18"/>
                      <w:szCs w:val="18"/>
                    </w:rPr>
                  </w:pPr>
                  <w:r>
                    <w:rPr>
                      <w:rFonts w:hint="eastAsia"/>
                      <w:sz w:val="18"/>
                      <w:szCs w:val="18"/>
                    </w:rPr>
                    <w:t>0.0061</w:t>
                  </w:r>
                </w:p>
              </w:tc>
              <w:tc>
                <w:tcPr>
                  <w:tcW w:w="70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jc w:val="center"/>
                    <w:rPr>
                      <w:sz w:val="18"/>
                      <w:szCs w:val="18"/>
                    </w:rPr>
                  </w:pPr>
                  <w:r>
                    <w:rPr>
                      <w:rFonts w:hint="eastAsia"/>
                      <w:sz w:val="18"/>
                      <w:szCs w:val="18"/>
                    </w:rPr>
                    <w:t>3.7</w:t>
                  </w:r>
                </w:p>
              </w:tc>
              <w:tc>
                <w:tcPr>
                  <w:tcW w:w="396"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18"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94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567"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6"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c>
                <w:tcPr>
                  <w:tcW w:w="425" w:type="dxa"/>
                  <w:vMerge w:val="continue"/>
                  <w:tcBorders>
                    <w:top w:val="nil"/>
                    <w:left w:val="single" w:color="auto" w:sz="4" w:space="0"/>
                    <w:bottom w:val="single" w:color="auto" w:sz="4" w:space="0"/>
                    <w:right w:val="single" w:color="auto" w:sz="4" w:space="0"/>
                  </w:tcBorders>
                  <w:vAlign w:val="center"/>
                </w:tcPr>
                <w:p>
                  <w:pPr>
                    <w:widowControl/>
                    <w:jc w:val="left"/>
                    <w:rPr>
                      <w:sz w:val="18"/>
                      <w:szCs w:val="18"/>
                    </w:rPr>
                  </w:pPr>
                </w:p>
              </w:tc>
            </w:tr>
          </w:tbl>
          <w:p>
            <w:pPr>
              <w:autoSpaceDE w:val="0"/>
              <w:autoSpaceDN w:val="0"/>
              <w:adjustRightInd w:val="0"/>
              <w:snapToGrid w:val="0"/>
              <w:spacing w:line="400" w:lineRule="exact"/>
              <w:ind w:firstLine="422" w:firstLineChars="200"/>
              <w:jc w:val="left"/>
              <w:rPr>
                <w:b/>
                <w:bCs/>
                <w:kern w:val="0"/>
                <w:szCs w:val="21"/>
              </w:rPr>
            </w:pPr>
            <w:r>
              <w:rPr>
                <w:rFonts w:ascii="宋体" w:hAnsi="宋体"/>
                <w:b/>
                <w:bCs/>
                <w:kern w:val="0"/>
              </w:rPr>
              <w:t>（</w:t>
            </w:r>
            <w:r>
              <w:rPr>
                <w:rFonts w:hint="eastAsia"/>
                <w:b/>
                <w:bCs/>
                <w:kern w:val="0"/>
              </w:rPr>
              <w:t>3</w:t>
            </w:r>
            <w:r>
              <w:rPr>
                <w:rFonts w:ascii="宋体" w:hAnsi="宋体"/>
                <w:b/>
                <w:bCs/>
                <w:kern w:val="0"/>
              </w:rPr>
              <w:t>）监测计划</w:t>
            </w:r>
          </w:p>
          <w:p>
            <w:pPr>
              <w:autoSpaceDE w:val="0"/>
              <w:autoSpaceDN w:val="0"/>
              <w:adjustRightInd w:val="0"/>
              <w:snapToGrid w:val="0"/>
              <w:spacing w:line="400" w:lineRule="exact"/>
              <w:ind w:firstLine="420" w:firstLineChars="200"/>
              <w:jc w:val="left"/>
              <w:rPr>
                <w:kern w:val="0"/>
              </w:rPr>
            </w:pPr>
            <w:r>
              <w:rPr>
                <w:rFonts w:ascii="宋体" w:hAnsi="宋体"/>
                <w:kern w:val="0"/>
              </w:rPr>
              <w:t>根据《排污单位自行监测技术指南</w:t>
            </w:r>
            <w:r>
              <w:rPr>
                <w:kern w:val="0"/>
              </w:rPr>
              <w:t xml:space="preserve"> </w:t>
            </w:r>
            <w:r>
              <w:rPr>
                <w:rFonts w:ascii="宋体" w:hAnsi="宋体"/>
                <w:kern w:val="0"/>
              </w:rPr>
              <w:t>总则》（</w:t>
            </w:r>
            <w:r>
              <w:rPr>
                <w:kern w:val="0"/>
              </w:rPr>
              <w:t>HJ819-2017</w:t>
            </w:r>
            <w:r>
              <w:rPr>
                <w:rFonts w:ascii="宋体" w:hAnsi="宋体"/>
                <w:kern w:val="0"/>
              </w:rPr>
              <w:t>）文件，并结合本项目污染物的特点，制定营运期监测计划见下表。</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w:t>
            </w:r>
            <w:r>
              <w:rPr>
                <w:rFonts w:hint="eastAsia" w:eastAsia="黑体"/>
                <w:kern w:val="0"/>
                <w:sz w:val="20"/>
                <w:szCs w:val="20"/>
              </w:rPr>
              <w:t>4</w:t>
            </w:r>
            <w:r>
              <w:rPr>
                <w:rFonts w:eastAsia="黑体"/>
                <w:kern w:val="0"/>
                <w:sz w:val="20"/>
                <w:szCs w:val="20"/>
              </w:rPr>
              <w:t xml:space="preserve">   </w:t>
            </w:r>
            <w:r>
              <w:rPr>
                <w:rFonts w:ascii="黑体" w:hAnsi="黑体" w:eastAsia="黑体"/>
                <w:kern w:val="0"/>
                <w:sz w:val="20"/>
                <w:szCs w:val="20"/>
              </w:rPr>
              <w:t>营运期废气监测计划</w:t>
            </w:r>
          </w:p>
          <w:tbl>
            <w:tblPr>
              <w:tblStyle w:val="21"/>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319"/>
              <w:gridCol w:w="2321"/>
              <w:gridCol w:w="1813"/>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ascii="宋体" w:hAnsi="宋体"/>
                      <w:b/>
                      <w:bCs/>
                      <w:sz w:val="18"/>
                      <w:szCs w:val="18"/>
                    </w:rPr>
                    <w:t>监测项目</w:t>
                  </w:r>
                </w:p>
              </w:tc>
              <w:tc>
                <w:tcPr>
                  <w:tcW w:w="1319"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ascii="宋体" w:hAnsi="宋体"/>
                      <w:b/>
                      <w:bCs/>
                      <w:sz w:val="18"/>
                      <w:szCs w:val="18"/>
                    </w:rPr>
                    <w:t>监测点位</w:t>
                  </w:r>
                </w:p>
              </w:tc>
              <w:tc>
                <w:tcPr>
                  <w:tcW w:w="232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ascii="宋体" w:hAnsi="宋体"/>
                      <w:b/>
                      <w:bCs/>
                      <w:sz w:val="18"/>
                      <w:szCs w:val="18"/>
                    </w:rPr>
                    <w:t>监测因子</w:t>
                  </w:r>
                </w:p>
              </w:tc>
              <w:tc>
                <w:tcPr>
                  <w:tcW w:w="1813"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ascii="宋体" w:hAnsi="宋体"/>
                      <w:b/>
                      <w:bCs/>
                      <w:sz w:val="18"/>
                      <w:szCs w:val="18"/>
                    </w:rPr>
                    <w:t>监测频次</w:t>
                  </w:r>
                </w:p>
              </w:tc>
              <w:tc>
                <w:tcPr>
                  <w:tcW w:w="1379"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ascii="宋体" w:hAnsi="宋体"/>
                      <w:b/>
                      <w:bCs/>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ascii="宋体" w:hAnsi="宋体"/>
                      <w:sz w:val="18"/>
                      <w:szCs w:val="18"/>
                    </w:rPr>
                    <w:t>燃烧</w:t>
                  </w:r>
                  <w:r>
                    <w:rPr>
                      <w:rFonts w:ascii="宋体" w:hAnsi="宋体"/>
                      <w:sz w:val="18"/>
                      <w:szCs w:val="18"/>
                    </w:rPr>
                    <w:t>废气</w:t>
                  </w:r>
                </w:p>
              </w:tc>
              <w:tc>
                <w:tcPr>
                  <w:tcW w:w="1319"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ascii="宋体" w:hAnsi="宋体"/>
                      <w:sz w:val="18"/>
                      <w:szCs w:val="18"/>
                    </w:rPr>
                    <w:t>锅炉排气筒</w:t>
                  </w:r>
                </w:p>
              </w:tc>
              <w:tc>
                <w:tcPr>
                  <w:tcW w:w="232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SO</w:t>
                  </w:r>
                  <w:r>
                    <w:rPr>
                      <w:sz w:val="18"/>
                      <w:szCs w:val="18"/>
                      <w:vertAlign w:val="subscript"/>
                    </w:rPr>
                    <w:t>2</w:t>
                  </w:r>
                  <w:r>
                    <w:rPr>
                      <w:rFonts w:ascii="宋体" w:hAnsi="宋体"/>
                      <w:sz w:val="18"/>
                      <w:szCs w:val="18"/>
                    </w:rPr>
                    <w:t>、</w:t>
                  </w:r>
                  <w:r>
                    <w:rPr>
                      <w:sz w:val="18"/>
                      <w:szCs w:val="18"/>
                    </w:rPr>
                    <w:t>NOx</w:t>
                  </w:r>
                  <w:r>
                    <w:rPr>
                      <w:rFonts w:ascii="宋体" w:hAnsi="宋体"/>
                      <w:sz w:val="18"/>
                      <w:szCs w:val="18"/>
                    </w:rPr>
                    <w:t>、</w:t>
                  </w:r>
                  <w:r>
                    <w:rPr>
                      <w:rFonts w:hint="eastAsia" w:ascii="宋体" w:hAnsi="宋体"/>
                      <w:sz w:val="18"/>
                      <w:szCs w:val="18"/>
                    </w:rPr>
                    <w:t>颗粒物</w:t>
                  </w:r>
                </w:p>
              </w:tc>
              <w:tc>
                <w:tcPr>
                  <w:tcW w:w="1813"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ascii="宋体" w:hAnsi="宋体"/>
                      <w:sz w:val="18"/>
                      <w:szCs w:val="18"/>
                    </w:rPr>
                    <w:t>天（每天</w:t>
                  </w:r>
                  <w:r>
                    <w:rPr>
                      <w:sz w:val="18"/>
                      <w:szCs w:val="18"/>
                    </w:rPr>
                    <w:t>3</w:t>
                  </w:r>
                  <w:r>
                    <w:rPr>
                      <w:rFonts w:ascii="宋体" w:hAnsi="宋体"/>
                      <w:sz w:val="18"/>
                      <w:szCs w:val="18"/>
                    </w:rPr>
                    <w:t>次）</w:t>
                  </w:r>
                </w:p>
              </w:tc>
              <w:tc>
                <w:tcPr>
                  <w:tcW w:w="1379"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ascii="宋体" w:hAnsi="宋体"/>
                      <w:sz w:val="18"/>
                      <w:szCs w:val="18"/>
                    </w:rPr>
                    <w:t>每季度</w:t>
                  </w:r>
                  <w:r>
                    <w:rPr>
                      <w:sz w:val="18"/>
                      <w:szCs w:val="18"/>
                    </w:rPr>
                    <w:t>1</w:t>
                  </w:r>
                  <w:r>
                    <w:rPr>
                      <w:rFonts w:ascii="宋体" w:hAnsi="宋体"/>
                      <w:sz w:val="18"/>
                      <w:szCs w:val="18"/>
                    </w:rPr>
                    <w:t>次</w:t>
                  </w:r>
                </w:p>
              </w:tc>
            </w:tr>
          </w:tbl>
          <w:p>
            <w:pPr>
              <w:adjustRightInd w:val="0"/>
              <w:snapToGrid w:val="0"/>
              <w:spacing w:line="400" w:lineRule="exact"/>
              <w:ind w:left="-53" w:leftChars="-25" w:right="-53" w:rightChars="-25" w:firstLine="420" w:firstLineChars="200"/>
              <w:jc w:val="left"/>
              <w:rPr>
                <w:b/>
                <w:bCs/>
                <w:szCs w:val="21"/>
              </w:rPr>
            </w:pPr>
            <w:r>
              <w:rPr>
                <w:rFonts w:ascii="宋体" w:hAnsi="宋体"/>
                <w:kern w:val="0"/>
              </w:rPr>
              <w:t>（</w:t>
            </w:r>
            <w:r>
              <w:rPr>
                <w:kern w:val="0"/>
              </w:rPr>
              <w:t>4</w:t>
            </w:r>
            <w:r>
              <w:rPr>
                <w:rFonts w:ascii="宋体" w:hAnsi="宋体"/>
                <w:kern w:val="0"/>
              </w:rPr>
              <w:t>）</w:t>
            </w:r>
            <w:r>
              <w:rPr>
                <w:rFonts w:ascii="宋体" w:hAnsi="宋体"/>
                <w:b/>
                <w:bCs/>
              </w:rPr>
              <w:t>非正常排放情况</w:t>
            </w:r>
          </w:p>
          <w:p>
            <w:pPr>
              <w:adjustRightInd w:val="0"/>
              <w:snapToGrid w:val="0"/>
              <w:spacing w:line="400" w:lineRule="exact"/>
              <w:ind w:left="-53" w:leftChars="-25" w:right="-53" w:rightChars="-25" w:firstLine="420" w:firstLineChars="200"/>
              <w:jc w:val="left"/>
              <w:rPr>
                <w:kern w:val="0"/>
              </w:rPr>
            </w:pPr>
            <w:r>
              <w:rPr>
                <w:rFonts w:ascii="宋体" w:hAnsi="宋体"/>
                <w:kern w:val="0"/>
              </w:rPr>
              <w:t>本项目废气</w:t>
            </w:r>
            <w:r>
              <w:rPr>
                <w:rFonts w:hint="eastAsia" w:ascii="宋体" w:hAnsi="宋体"/>
                <w:kern w:val="0"/>
              </w:rPr>
              <w:t>不会出现</w:t>
            </w:r>
            <w:r>
              <w:rPr>
                <w:rFonts w:ascii="宋体" w:hAnsi="宋体"/>
                <w:kern w:val="0"/>
              </w:rPr>
              <w:t>非正常排放的情况。</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w:t>
            </w:r>
            <w:r>
              <w:rPr>
                <w:rFonts w:hint="eastAsia" w:eastAsia="黑体"/>
                <w:kern w:val="0"/>
                <w:sz w:val="20"/>
                <w:szCs w:val="20"/>
              </w:rPr>
              <w:t xml:space="preserve">5 </w:t>
            </w:r>
            <w:r>
              <w:rPr>
                <w:rFonts w:eastAsia="黑体"/>
                <w:kern w:val="0"/>
                <w:sz w:val="20"/>
                <w:szCs w:val="20"/>
              </w:rPr>
              <w:t xml:space="preserve">  </w:t>
            </w:r>
            <w:r>
              <w:rPr>
                <w:rFonts w:ascii="黑体" w:hAnsi="黑体" w:eastAsia="黑体"/>
                <w:kern w:val="0"/>
                <w:sz w:val="20"/>
                <w:szCs w:val="20"/>
              </w:rPr>
              <w:t>污染源非正常排放量核算表</w:t>
            </w:r>
          </w:p>
          <w:tbl>
            <w:tblPr>
              <w:tblStyle w:val="21"/>
              <w:tblW w:w="8096" w:type="dxa"/>
              <w:jc w:val="center"/>
              <w:tblLayout w:type="fixed"/>
              <w:tblCellMar>
                <w:top w:w="0" w:type="dxa"/>
                <w:left w:w="28" w:type="dxa"/>
                <w:bottom w:w="0" w:type="dxa"/>
                <w:right w:w="28" w:type="dxa"/>
              </w:tblCellMar>
            </w:tblPr>
            <w:tblGrid>
              <w:gridCol w:w="427"/>
              <w:gridCol w:w="846"/>
              <w:gridCol w:w="1207"/>
              <w:gridCol w:w="645"/>
              <w:gridCol w:w="1132"/>
              <w:gridCol w:w="1181"/>
              <w:gridCol w:w="884"/>
              <w:gridCol w:w="1001"/>
              <w:gridCol w:w="773"/>
            </w:tblGrid>
            <w:tr>
              <w:tblPrEx>
                <w:tblCellMar>
                  <w:top w:w="0" w:type="dxa"/>
                  <w:left w:w="28" w:type="dxa"/>
                  <w:bottom w:w="0" w:type="dxa"/>
                  <w:right w:w="28" w:type="dxa"/>
                </w:tblCellMar>
              </w:tblPrEx>
              <w:trPr>
                <w:trHeight w:val="461"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序号</w:t>
                  </w:r>
                </w:p>
              </w:tc>
              <w:tc>
                <w:tcPr>
                  <w:tcW w:w="846"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污染源</w:t>
                  </w:r>
                </w:p>
              </w:tc>
              <w:tc>
                <w:tcPr>
                  <w:tcW w:w="1207"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非正常排放原因</w:t>
                  </w:r>
                </w:p>
              </w:tc>
              <w:tc>
                <w:tcPr>
                  <w:tcW w:w="645"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污染物</w:t>
                  </w:r>
                </w:p>
              </w:tc>
              <w:tc>
                <w:tcPr>
                  <w:tcW w:w="1132"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非正常排放浓度</w:t>
                  </w:r>
                  <w:r>
                    <w:rPr>
                      <w:b/>
                      <w:bCs/>
                      <w:sz w:val="18"/>
                      <w:szCs w:val="18"/>
                    </w:rPr>
                    <w:t>/(mg/m</w:t>
                  </w:r>
                  <w:r>
                    <w:rPr>
                      <w:b/>
                      <w:bCs/>
                      <w:sz w:val="18"/>
                      <w:szCs w:val="18"/>
                      <w:vertAlign w:val="superscript"/>
                    </w:rPr>
                    <w:t>3</w:t>
                  </w:r>
                  <w:r>
                    <w:rPr>
                      <w:b/>
                      <w:bCs/>
                      <w:sz w:val="18"/>
                      <w:szCs w:val="18"/>
                    </w:rPr>
                    <w:t>)</w:t>
                  </w:r>
                </w:p>
              </w:tc>
              <w:tc>
                <w:tcPr>
                  <w:tcW w:w="1181"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非正常排放速率</w:t>
                  </w:r>
                  <w:r>
                    <w:rPr>
                      <w:b/>
                      <w:bCs/>
                      <w:sz w:val="18"/>
                      <w:szCs w:val="18"/>
                    </w:rPr>
                    <w:t>/(kg/h</w:t>
                  </w:r>
                  <w:r>
                    <w:rPr>
                      <w:rFonts w:ascii="宋体" w:hAnsi="宋体"/>
                      <w:b/>
                      <w:bCs/>
                      <w:sz w:val="18"/>
                      <w:szCs w:val="18"/>
                    </w:rPr>
                    <w:t>）</w:t>
                  </w:r>
                </w:p>
              </w:tc>
              <w:tc>
                <w:tcPr>
                  <w:tcW w:w="884"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单次持续时间</w:t>
                  </w:r>
                  <w:r>
                    <w:rPr>
                      <w:b/>
                      <w:bCs/>
                      <w:sz w:val="18"/>
                      <w:szCs w:val="18"/>
                    </w:rPr>
                    <w:t>/h</w:t>
                  </w:r>
                </w:p>
              </w:tc>
              <w:tc>
                <w:tcPr>
                  <w:tcW w:w="1001"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年发生频次</w:t>
                  </w:r>
                  <w:r>
                    <w:rPr>
                      <w:b/>
                      <w:bCs/>
                      <w:sz w:val="18"/>
                      <w:szCs w:val="18"/>
                    </w:rPr>
                    <w:br w:type="textWrapping"/>
                  </w:r>
                  <w:r>
                    <w:rPr>
                      <w:b/>
                      <w:bCs/>
                      <w:sz w:val="18"/>
                      <w:szCs w:val="18"/>
                    </w:rPr>
                    <w:t>/</w:t>
                  </w:r>
                  <w:r>
                    <w:rPr>
                      <w:rFonts w:ascii="宋体" w:hAnsi="宋体"/>
                      <w:b/>
                      <w:bCs/>
                      <w:sz w:val="18"/>
                      <w:szCs w:val="18"/>
                    </w:rPr>
                    <w:t>次</w:t>
                  </w:r>
                </w:p>
              </w:tc>
              <w:tc>
                <w:tcPr>
                  <w:tcW w:w="773"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b/>
                      <w:bCs/>
                      <w:sz w:val="18"/>
                      <w:szCs w:val="18"/>
                    </w:rPr>
                  </w:pPr>
                  <w:r>
                    <w:rPr>
                      <w:rFonts w:ascii="宋体" w:hAnsi="宋体"/>
                      <w:b/>
                      <w:bCs/>
                      <w:sz w:val="18"/>
                      <w:szCs w:val="18"/>
                    </w:rPr>
                    <w:t>应对</w:t>
                  </w:r>
                  <w:r>
                    <w:rPr>
                      <w:b/>
                      <w:bCs/>
                      <w:sz w:val="18"/>
                      <w:szCs w:val="18"/>
                    </w:rPr>
                    <w:br w:type="textWrapping"/>
                  </w:r>
                  <w:r>
                    <w:rPr>
                      <w:rFonts w:ascii="宋体" w:hAnsi="宋体"/>
                      <w:b/>
                      <w:bCs/>
                      <w:sz w:val="18"/>
                      <w:szCs w:val="18"/>
                    </w:rPr>
                    <w:t>措施</w:t>
                  </w:r>
                </w:p>
              </w:tc>
            </w:tr>
            <w:tr>
              <w:tblPrEx>
                <w:tblCellMar>
                  <w:top w:w="0" w:type="dxa"/>
                  <w:left w:w="28" w:type="dxa"/>
                  <w:bottom w:w="0" w:type="dxa"/>
                  <w:right w:w="28" w:type="dxa"/>
                </w:tblCellMar>
              </w:tblPrEx>
              <w:trPr>
                <w:trHeight w:val="253"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sz w:val="18"/>
                      <w:szCs w:val="18"/>
                    </w:rPr>
                    <w:t>1</w:t>
                  </w:r>
                </w:p>
              </w:tc>
              <w:tc>
                <w:tcPr>
                  <w:tcW w:w="846"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ascii="宋体" w:hAnsi="宋体"/>
                      <w:sz w:val="18"/>
                      <w:szCs w:val="18"/>
                    </w:rPr>
                    <w:t>锅炉房</w:t>
                  </w:r>
                </w:p>
              </w:tc>
              <w:tc>
                <w:tcPr>
                  <w:tcW w:w="1207"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ascii="宋体" w:hAnsi="宋体"/>
                      <w:sz w:val="18"/>
                      <w:szCs w:val="18"/>
                    </w:rPr>
                    <w:t>不会出现</w:t>
                  </w:r>
                </w:p>
              </w:tc>
              <w:tc>
                <w:tcPr>
                  <w:tcW w:w="645"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sz w:val="18"/>
                      <w:szCs w:val="18"/>
                    </w:rPr>
                    <w:t>/</w:t>
                  </w:r>
                </w:p>
              </w:tc>
              <w:tc>
                <w:tcPr>
                  <w:tcW w:w="1132"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sz w:val="18"/>
                      <w:szCs w:val="18"/>
                    </w:rPr>
                    <w:t>/</w:t>
                  </w:r>
                </w:p>
              </w:tc>
              <w:tc>
                <w:tcPr>
                  <w:tcW w:w="1181"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sz w:val="18"/>
                      <w:szCs w:val="18"/>
                    </w:rPr>
                    <w:t>/</w:t>
                  </w:r>
                </w:p>
              </w:tc>
              <w:tc>
                <w:tcPr>
                  <w:tcW w:w="884"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sz w:val="18"/>
                      <w:szCs w:val="18"/>
                    </w:rPr>
                    <w:t>/</w:t>
                  </w:r>
                </w:p>
              </w:tc>
              <w:tc>
                <w:tcPr>
                  <w:tcW w:w="1001"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sz w:val="18"/>
                      <w:szCs w:val="18"/>
                    </w:rPr>
                    <w:t>/</w:t>
                  </w:r>
                </w:p>
              </w:tc>
              <w:tc>
                <w:tcPr>
                  <w:tcW w:w="773" w:type="dxa"/>
                  <w:tcBorders>
                    <w:top w:val="single" w:color="auto" w:sz="4" w:space="0"/>
                    <w:left w:val="nil"/>
                    <w:bottom w:val="single" w:color="auto" w:sz="4" w:space="0"/>
                    <w:right w:val="single" w:color="auto" w:sz="4" w:space="0"/>
                  </w:tcBorders>
                  <w:shd w:val="clear" w:color="auto" w:fill="FFFFFF"/>
                  <w:vAlign w:val="center"/>
                </w:tcPr>
                <w:p>
                  <w:pPr>
                    <w:pStyle w:val="33"/>
                    <w:spacing w:before="0" w:beforeAutospacing="0" w:line="280" w:lineRule="exact"/>
                    <w:ind w:left="-53" w:leftChars="-25" w:right="-53" w:rightChars="-25"/>
                    <w:jc w:val="center"/>
                    <w:rPr>
                      <w:sz w:val="18"/>
                      <w:szCs w:val="18"/>
                    </w:rPr>
                  </w:pPr>
                  <w:r>
                    <w:rPr>
                      <w:rFonts w:hint="eastAsia"/>
                      <w:sz w:val="18"/>
                      <w:szCs w:val="18"/>
                    </w:rPr>
                    <w:t>/</w:t>
                  </w:r>
                </w:p>
              </w:tc>
            </w:tr>
          </w:tbl>
          <w:p>
            <w:pPr>
              <w:autoSpaceDE w:val="0"/>
              <w:autoSpaceDN w:val="0"/>
              <w:adjustRightInd w:val="0"/>
              <w:snapToGrid w:val="0"/>
              <w:spacing w:line="400" w:lineRule="exact"/>
              <w:ind w:firstLine="422" w:firstLineChars="200"/>
              <w:jc w:val="left"/>
              <w:rPr>
                <w:b/>
                <w:bCs/>
                <w:kern w:val="0"/>
                <w:szCs w:val="21"/>
              </w:rPr>
            </w:pPr>
            <w:r>
              <w:rPr>
                <w:rFonts w:ascii="宋体" w:hAnsi="宋体"/>
                <w:b/>
                <w:bCs/>
                <w:kern w:val="0"/>
              </w:rPr>
              <w:t>（</w:t>
            </w:r>
            <w:r>
              <w:rPr>
                <w:b/>
                <w:bCs/>
                <w:kern w:val="0"/>
              </w:rPr>
              <w:t>5</w:t>
            </w:r>
            <w:r>
              <w:rPr>
                <w:rFonts w:ascii="宋体" w:hAnsi="宋体"/>
                <w:b/>
                <w:bCs/>
                <w:kern w:val="0"/>
              </w:rPr>
              <w:t>）环境影响</w:t>
            </w:r>
          </w:p>
          <w:p>
            <w:pPr>
              <w:autoSpaceDE w:val="0"/>
              <w:autoSpaceDN w:val="0"/>
              <w:adjustRightInd w:val="0"/>
              <w:snapToGrid w:val="0"/>
              <w:spacing w:line="400" w:lineRule="exact"/>
              <w:ind w:firstLine="420" w:firstLineChars="200"/>
              <w:jc w:val="left"/>
              <w:rPr>
                <w:kern w:val="0"/>
                <w:szCs w:val="21"/>
              </w:rPr>
            </w:pPr>
            <w:r>
              <w:rPr>
                <w:kern w:val="0"/>
                <w:szCs w:val="21"/>
              </w:rPr>
              <w:t>本项目废气污染物主要为SO</w:t>
            </w:r>
            <w:r>
              <w:rPr>
                <w:kern w:val="0"/>
                <w:szCs w:val="21"/>
                <w:vertAlign w:val="subscript"/>
              </w:rPr>
              <w:t>2</w:t>
            </w:r>
            <w:r>
              <w:rPr>
                <w:rFonts w:hint="eastAsia"/>
                <w:kern w:val="0"/>
                <w:szCs w:val="21"/>
              </w:rPr>
              <w:t>、</w:t>
            </w:r>
            <w:r>
              <w:rPr>
                <w:kern w:val="0"/>
                <w:szCs w:val="21"/>
              </w:rPr>
              <w:t>NO</w:t>
            </w:r>
            <w:r>
              <w:rPr>
                <w:kern w:val="0"/>
                <w:szCs w:val="21"/>
                <w:vertAlign w:val="subscript"/>
              </w:rPr>
              <w:t>x</w:t>
            </w:r>
            <w:r>
              <w:rPr>
                <w:rFonts w:hint="eastAsia"/>
                <w:kern w:val="0"/>
                <w:szCs w:val="21"/>
              </w:rPr>
              <w:t>、</w:t>
            </w:r>
            <w:r>
              <w:rPr>
                <w:kern w:val="0"/>
                <w:szCs w:val="21"/>
              </w:rPr>
              <w:t>CO</w:t>
            </w:r>
            <w:r>
              <w:rPr>
                <w:rFonts w:hint="eastAsia"/>
                <w:kern w:val="0"/>
                <w:szCs w:val="21"/>
              </w:rPr>
              <w:t>、</w:t>
            </w:r>
            <w:r>
              <w:rPr>
                <w:kern w:val="0"/>
                <w:szCs w:val="21"/>
              </w:rPr>
              <w:t>烟尘，通过采</w:t>
            </w:r>
            <w:r>
              <w:rPr>
                <w:rFonts w:hint="eastAsia"/>
                <w:kern w:val="0"/>
                <w:szCs w:val="21"/>
              </w:rPr>
              <w:t>用清洁能源天然气做燃料，锅炉配置低氮燃烧器，燃烧废气经排气筒高空排放，各污染因子能够满足《锅炉大气污染物排放标准》（GB13271-2014）特别排放限值的要求。对周围环境的污染影响较小，对所在区域大气环境影响程度为可以接受的影响程度</w:t>
            </w:r>
            <w:r>
              <w:rPr>
                <w:kern w:val="0"/>
                <w:szCs w:val="21"/>
              </w:rPr>
              <w:t>。</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2、废水</w:t>
            </w:r>
          </w:p>
          <w:p>
            <w:pPr>
              <w:autoSpaceDE w:val="0"/>
              <w:autoSpaceDN w:val="0"/>
              <w:adjustRightInd w:val="0"/>
              <w:snapToGrid w:val="0"/>
              <w:spacing w:line="400" w:lineRule="exact"/>
              <w:ind w:firstLine="422" w:firstLineChars="200"/>
              <w:jc w:val="left"/>
              <w:rPr>
                <w:b/>
                <w:bCs/>
                <w:kern w:val="0"/>
              </w:rPr>
            </w:pPr>
            <w:r>
              <w:rPr>
                <w:rFonts w:ascii="宋体" w:hAnsi="宋体"/>
                <w:b/>
                <w:bCs/>
                <w:kern w:val="0"/>
              </w:rPr>
              <w:t>（</w:t>
            </w:r>
            <w:r>
              <w:rPr>
                <w:b/>
                <w:bCs/>
                <w:kern w:val="0"/>
              </w:rPr>
              <w:t>1</w:t>
            </w:r>
            <w:r>
              <w:rPr>
                <w:rFonts w:ascii="宋体" w:hAnsi="宋体"/>
                <w:b/>
                <w:bCs/>
                <w:kern w:val="0"/>
              </w:rPr>
              <w:t>）产排污环节及产生量</w:t>
            </w:r>
          </w:p>
          <w:p>
            <w:pPr>
              <w:autoSpaceDE w:val="0"/>
              <w:autoSpaceDN w:val="0"/>
              <w:adjustRightInd w:val="0"/>
              <w:snapToGrid w:val="0"/>
              <w:spacing w:line="400" w:lineRule="exact"/>
              <w:ind w:firstLine="420" w:firstLineChars="200"/>
              <w:jc w:val="left"/>
              <w:rPr>
                <w:kern w:val="0"/>
              </w:rPr>
            </w:pPr>
            <w:r>
              <w:rPr>
                <w:rFonts w:hint="eastAsia" w:ascii="宋体" w:hAnsi="宋体"/>
                <w:kern w:val="0"/>
              </w:rPr>
              <w:t>根据水平衡分析，</w:t>
            </w:r>
            <w:r>
              <w:rPr>
                <w:rFonts w:ascii="宋体" w:hAnsi="宋体"/>
                <w:kern w:val="0"/>
              </w:rPr>
              <w:t>项目废水</w:t>
            </w:r>
            <w:r>
              <w:rPr>
                <w:rFonts w:hint="eastAsia" w:ascii="宋体" w:hAnsi="宋体"/>
                <w:kern w:val="0"/>
              </w:rPr>
              <w:t>主要来源于锅炉排水、软水设备排水、离子树脂再生废水，废水量</w:t>
            </w:r>
            <w:r>
              <w:rPr>
                <w:rFonts w:ascii="宋体" w:hAnsi="宋体"/>
                <w:kern w:val="0"/>
              </w:rPr>
              <w:t>约</w:t>
            </w:r>
            <w:r>
              <w:rPr>
                <w:rFonts w:hint="eastAsia"/>
                <w:kern w:val="0"/>
              </w:rPr>
              <w:t>325.88</w:t>
            </w:r>
            <w:r>
              <w:rPr>
                <w:kern w:val="0"/>
              </w:rPr>
              <w:t>m</w:t>
            </w:r>
            <w:r>
              <w:rPr>
                <w:kern w:val="0"/>
                <w:vertAlign w:val="superscript"/>
              </w:rPr>
              <w:t>3</w:t>
            </w:r>
            <w:r>
              <w:rPr>
                <w:kern w:val="0"/>
              </w:rPr>
              <w:t>/</w:t>
            </w:r>
            <w:r>
              <w:rPr>
                <w:rFonts w:hint="eastAsia"/>
                <w:kern w:val="0"/>
              </w:rPr>
              <w:t>a</w:t>
            </w:r>
            <w:r>
              <w:rPr>
                <w:rFonts w:hint="eastAsia" w:ascii="宋体" w:hAnsi="宋体"/>
                <w:kern w:val="0"/>
              </w:rPr>
              <w:t>。本项目不增加员工，不会增加生活污水。</w:t>
            </w:r>
          </w:p>
          <w:p>
            <w:pPr>
              <w:autoSpaceDE w:val="0"/>
              <w:autoSpaceDN w:val="0"/>
              <w:adjustRightInd w:val="0"/>
              <w:snapToGrid w:val="0"/>
              <w:spacing w:line="400" w:lineRule="exact"/>
              <w:ind w:firstLine="422" w:firstLineChars="200"/>
              <w:jc w:val="left"/>
              <w:rPr>
                <w:b/>
                <w:bCs/>
                <w:kern w:val="0"/>
              </w:rPr>
            </w:pPr>
            <w:r>
              <w:rPr>
                <w:rFonts w:hint="eastAsia" w:ascii="宋体" w:hAnsi="宋体"/>
                <w:b/>
                <w:bCs/>
                <w:kern w:val="0"/>
              </w:rPr>
              <w:t>（</w:t>
            </w:r>
            <w:r>
              <w:rPr>
                <w:rFonts w:hint="eastAsia"/>
                <w:b/>
                <w:bCs/>
                <w:kern w:val="0"/>
              </w:rPr>
              <w:t>2</w:t>
            </w:r>
            <w:r>
              <w:rPr>
                <w:rFonts w:hint="eastAsia" w:ascii="宋体" w:hAnsi="宋体"/>
                <w:b/>
                <w:bCs/>
                <w:kern w:val="0"/>
              </w:rPr>
              <w:t>）废水治理措施</w:t>
            </w:r>
          </w:p>
          <w:p>
            <w:pPr>
              <w:autoSpaceDE w:val="0"/>
              <w:autoSpaceDN w:val="0"/>
              <w:adjustRightInd w:val="0"/>
              <w:snapToGrid w:val="0"/>
              <w:spacing w:line="400" w:lineRule="exact"/>
              <w:ind w:firstLine="420" w:firstLineChars="200"/>
              <w:jc w:val="left"/>
              <w:rPr>
                <w:kern w:val="0"/>
              </w:rPr>
            </w:pPr>
            <w:r>
              <w:rPr>
                <w:rFonts w:hint="eastAsia" w:ascii="宋体" w:hAnsi="宋体"/>
                <w:kern w:val="0"/>
              </w:rPr>
              <w:t>锅炉排水、软水设备排水、离子树脂再生废水中主要污染物为盐类，收集后经管道排入洗涤废水处理池，沉淀处理后经自建污水管网排入东岳场镇污水管网，最终进入东岳场镇污水处理厂。</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hint="eastAsia" w:eastAsia="黑体"/>
                <w:kern w:val="0"/>
                <w:sz w:val="20"/>
                <w:szCs w:val="20"/>
              </w:rPr>
              <w:t xml:space="preserve">4-6   </w:t>
            </w:r>
            <w:r>
              <w:rPr>
                <w:rFonts w:ascii="黑体" w:hAnsi="黑体" w:eastAsia="黑体"/>
                <w:kern w:val="0"/>
                <w:sz w:val="20"/>
                <w:szCs w:val="20"/>
              </w:rPr>
              <w:t>废水污染源源强核算结果及相关参数一览表</w:t>
            </w:r>
          </w:p>
          <w:tbl>
            <w:tblPr>
              <w:tblStyle w:val="21"/>
              <w:tblW w:w="8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3"/>
              <w:gridCol w:w="434"/>
              <w:gridCol w:w="410"/>
              <w:gridCol w:w="640"/>
              <w:gridCol w:w="615"/>
              <w:gridCol w:w="663"/>
              <w:gridCol w:w="554"/>
              <w:gridCol w:w="452"/>
              <w:gridCol w:w="455"/>
              <w:gridCol w:w="437"/>
              <w:gridCol w:w="586"/>
              <w:gridCol w:w="736"/>
              <w:gridCol w:w="728"/>
              <w:gridCol w:w="5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工序</w:t>
                  </w:r>
                  <w:r>
                    <w:rPr>
                      <w:rFonts w:ascii="Times New Roman" w:hAnsi="Times New Roman"/>
                      <w:b/>
                      <w:bCs/>
                      <w:sz w:val="18"/>
                      <w:szCs w:val="18"/>
                    </w:rPr>
                    <w:t>/</w:t>
                  </w:r>
                  <w:r>
                    <w:rPr>
                      <w:rFonts w:ascii="宋体" w:hAnsi="宋体"/>
                      <w:b/>
                      <w:bCs/>
                      <w:sz w:val="18"/>
                      <w:szCs w:val="18"/>
                    </w:rPr>
                    <w:t>生产线</w:t>
                  </w:r>
                </w:p>
              </w:tc>
              <w:tc>
                <w:tcPr>
                  <w:tcW w:w="434" w:type="dxa"/>
                  <w:vMerge w:val="restart"/>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污染</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源</w:t>
                  </w:r>
                </w:p>
              </w:tc>
              <w:tc>
                <w:tcPr>
                  <w:tcW w:w="410" w:type="dxa"/>
                  <w:vMerge w:val="restart"/>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污染</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物</w:t>
                  </w:r>
                </w:p>
              </w:tc>
              <w:tc>
                <w:tcPr>
                  <w:tcW w:w="2472" w:type="dxa"/>
                  <w:gridSpan w:val="4"/>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污染物产生</w:t>
                  </w:r>
                </w:p>
              </w:tc>
              <w:tc>
                <w:tcPr>
                  <w:tcW w:w="907" w:type="dxa"/>
                  <w:gridSpan w:val="2"/>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治理措施</w:t>
                  </w:r>
                </w:p>
              </w:tc>
              <w:tc>
                <w:tcPr>
                  <w:tcW w:w="2486" w:type="dxa"/>
                  <w:gridSpan w:val="4"/>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污染物排放</w:t>
                  </w:r>
                </w:p>
              </w:tc>
              <w:tc>
                <w:tcPr>
                  <w:tcW w:w="577" w:type="dxa"/>
                  <w:vMerge w:val="restart"/>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排放</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时间</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w:t>
                  </w:r>
                  <w:r>
                    <w:rPr>
                      <w:rFonts w:ascii="Times New Roman" w:hAnsi="Times New Roman"/>
                      <w:b/>
                      <w:bCs/>
                      <w:sz w:val="18"/>
                      <w:szCs w:val="18"/>
                    </w:rPr>
                    <w:t>d/a</w:t>
                  </w:r>
                  <w:r>
                    <w:rPr>
                      <w:rFonts w:ascii="宋体" w:hAnsi="宋体"/>
                      <w:b/>
                      <w:bCs/>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c>
                <w:tcPr>
                  <w:tcW w:w="434"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c>
                <w:tcPr>
                  <w:tcW w:w="41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c>
                <w:tcPr>
                  <w:tcW w:w="640"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核算</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方法</w:t>
                  </w:r>
                </w:p>
              </w:tc>
              <w:tc>
                <w:tcPr>
                  <w:tcW w:w="615"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废水</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产生量</w:t>
                  </w:r>
                  <w:r>
                    <w:rPr>
                      <w:rFonts w:ascii="Times New Roman" w:hAnsi="Times New Roman" w:eastAsia="Calibri"/>
                      <w:b/>
                      <w:bCs/>
                      <w:spacing w:val="-1"/>
                      <w:sz w:val="18"/>
                      <w:szCs w:val="18"/>
                    </w:rPr>
                    <w:t>(m</w:t>
                  </w:r>
                  <w:r>
                    <w:rPr>
                      <w:rFonts w:ascii="Times New Roman" w:hAnsi="Times New Roman"/>
                      <w:b/>
                      <w:bCs/>
                      <w:spacing w:val="-1"/>
                      <w:sz w:val="18"/>
                      <w:szCs w:val="18"/>
                      <w:vertAlign w:val="superscript"/>
                    </w:rPr>
                    <w:t>3</w:t>
                  </w:r>
                  <w:r>
                    <w:rPr>
                      <w:rFonts w:ascii="Times New Roman" w:hAnsi="Times New Roman" w:eastAsia="Calibri"/>
                      <w:b/>
                      <w:bCs/>
                      <w:spacing w:val="-1"/>
                      <w:sz w:val="18"/>
                      <w:szCs w:val="18"/>
                    </w:rPr>
                    <w:t>/a)</w:t>
                  </w:r>
                </w:p>
              </w:tc>
              <w:tc>
                <w:tcPr>
                  <w:tcW w:w="663"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产生</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浓度</w:t>
                  </w:r>
                  <w:r>
                    <w:rPr>
                      <w:rFonts w:hint="eastAsia" w:ascii="宋体" w:hAnsi="宋体"/>
                      <w:b/>
                      <w:bCs/>
                      <w:spacing w:val="-1"/>
                      <w:sz w:val="18"/>
                      <w:szCs w:val="18"/>
                    </w:rPr>
                    <w:t>（</w:t>
                  </w:r>
                  <w:r>
                    <w:rPr>
                      <w:rFonts w:ascii="Times New Roman" w:hAnsi="Times New Roman"/>
                      <w:b/>
                      <w:bCs/>
                      <w:spacing w:val="-1"/>
                      <w:sz w:val="18"/>
                      <w:szCs w:val="18"/>
                    </w:rPr>
                    <w:t>mg/L</w:t>
                  </w:r>
                  <w:r>
                    <w:rPr>
                      <w:rFonts w:hint="eastAsia" w:ascii="宋体" w:hAnsi="宋体"/>
                      <w:b/>
                      <w:bCs/>
                      <w:spacing w:val="-1"/>
                      <w:sz w:val="18"/>
                      <w:szCs w:val="18"/>
                    </w:rPr>
                    <w:t>）</w:t>
                  </w:r>
                </w:p>
              </w:tc>
              <w:tc>
                <w:tcPr>
                  <w:tcW w:w="553"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产生量</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pacing w:val="-1"/>
                      <w:sz w:val="18"/>
                      <w:szCs w:val="18"/>
                    </w:rPr>
                    <w:t>（</w:t>
                  </w:r>
                  <w:r>
                    <w:rPr>
                      <w:rFonts w:ascii="Times New Roman" w:hAnsi="Times New Roman"/>
                      <w:b/>
                      <w:bCs/>
                      <w:spacing w:val="-1"/>
                      <w:sz w:val="18"/>
                      <w:szCs w:val="18"/>
                    </w:rPr>
                    <w:t>t/a</w:t>
                  </w:r>
                  <w:r>
                    <w:rPr>
                      <w:rFonts w:ascii="宋体" w:hAnsi="宋体"/>
                      <w:b/>
                      <w:bCs/>
                      <w:spacing w:val="-1"/>
                      <w:sz w:val="18"/>
                      <w:szCs w:val="18"/>
                    </w:rPr>
                    <w:t>）</w:t>
                  </w:r>
                </w:p>
              </w:tc>
              <w:tc>
                <w:tcPr>
                  <w:tcW w:w="452"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工艺</w:t>
                  </w:r>
                </w:p>
              </w:tc>
              <w:tc>
                <w:tcPr>
                  <w:tcW w:w="455"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效率</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Times New Roman" w:hAnsi="Times New Roman" w:eastAsia="Calibri"/>
                      <w:b/>
                      <w:bCs/>
                      <w:sz w:val="18"/>
                      <w:szCs w:val="18"/>
                    </w:rPr>
                    <w:t>/%</w:t>
                  </w:r>
                </w:p>
              </w:tc>
              <w:tc>
                <w:tcPr>
                  <w:tcW w:w="437"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核算</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方法</w:t>
                  </w:r>
                </w:p>
              </w:tc>
              <w:tc>
                <w:tcPr>
                  <w:tcW w:w="586"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废水</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排放量</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Times New Roman" w:hAnsi="Times New Roman" w:eastAsia="Calibri"/>
                      <w:b/>
                      <w:bCs/>
                      <w:spacing w:val="-1"/>
                      <w:sz w:val="18"/>
                      <w:szCs w:val="18"/>
                    </w:rPr>
                    <w:t>(m</w:t>
                  </w:r>
                  <w:r>
                    <w:rPr>
                      <w:rFonts w:ascii="Times New Roman" w:hAnsi="Times New Roman"/>
                      <w:b/>
                      <w:bCs/>
                      <w:spacing w:val="-1"/>
                      <w:sz w:val="18"/>
                      <w:szCs w:val="18"/>
                      <w:vertAlign w:val="superscript"/>
                    </w:rPr>
                    <w:t>3</w:t>
                  </w:r>
                  <w:r>
                    <w:rPr>
                      <w:rFonts w:ascii="Times New Roman" w:hAnsi="Times New Roman" w:eastAsia="Calibri"/>
                      <w:b/>
                      <w:bCs/>
                      <w:spacing w:val="-1"/>
                      <w:sz w:val="18"/>
                      <w:szCs w:val="18"/>
                    </w:rPr>
                    <w:t>/a)</w:t>
                  </w:r>
                </w:p>
              </w:tc>
              <w:tc>
                <w:tcPr>
                  <w:tcW w:w="736"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排放浓度</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pacing w:val="-1"/>
                      <w:sz w:val="18"/>
                      <w:szCs w:val="18"/>
                    </w:rPr>
                    <w:t>（</w:t>
                  </w:r>
                  <w:r>
                    <w:rPr>
                      <w:rFonts w:ascii="Times New Roman" w:hAnsi="Times New Roman"/>
                      <w:b/>
                      <w:bCs/>
                      <w:spacing w:val="-1"/>
                      <w:sz w:val="18"/>
                      <w:szCs w:val="18"/>
                    </w:rPr>
                    <w:t>mg/L</w:t>
                  </w:r>
                  <w:r>
                    <w:rPr>
                      <w:rFonts w:ascii="宋体" w:hAnsi="宋体"/>
                      <w:b/>
                      <w:bCs/>
                      <w:spacing w:val="-1"/>
                      <w:sz w:val="18"/>
                      <w:szCs w:val="18"/>
                    </w:rPr>
                    <w:t>）</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z w:val="18"/>
                      <w:szCs w:val="18"/>
                    </w:rPr>
                    <w:t>排放量</w:t>
                  </w:r>
                </w:p>
                <w:p>
                  <w:pPr>
                    <w:pStyle w:val="39"/>
                    <w:autoSpaceDE w:val="0"/>
                    <w:spacing w:before="0" w:beforeAutospacing="0" w:line="280" w:lineRule="exact"/>
                    <w:ind w:left="-53" w:leftChars="-25" w:right="-53" w:rightChars="-25"/>
                    <w:jc w:val="center"/>
                    <w:rPr>
                      <w:rFonts w:ascii="Times New Roman" w:hAnsi="Times New Roman"/>
                      <w:b/>
                      <w:bCs/>
                      <w:sz w:val="18"/>
                      <w:szCs w:val="18"/>
                    </w:rPr>
                  </w:pPr>
                  <w:r>
                    <w:rPr>
                      <w:rFonts w:ascii="宋体" w:hAnsi="宋体"/>
                      <w:b/>
                      <w:bCs/>
                      <w:spacing w:val="-1"/>
                      <w:sz w:val="18"/>
                      <w:szCs w:val="18"/>
                    </w:rPr>
                    <w:t>（</w:t>
                  </w:r>
                  <w:r>
                    <w:rPr>
                      <w:rFonts w:ascii="Times New Roman" w:hAnsi="Times New Roman"/>
                      <w:b/>
                      <w:bCs/>
                      <w:spacing w:val="-1"/>
                      <w:sz w:val="18"/>
                      <w:szCs w:val="18"/>
                    </w:rPr>
                    <w:t>t/a</w:t>
                  </w:r>
                  <w:r>
                    <w:rPr>
                      <w:rFonts w:ascii="宋体" w:hAnsi="宋体"/>
                      <w:b/>
                      <w:bCs/>
                      <w:spacing w:val="-1"/>
                      <w:sz w:val="18"/>
                      <w:szCs w:val="18"/>
                    </w:rPr>
                    <w:t>）</w:t>
                  </w:r>
                </w:p>
              </w:tc>
              <w:tc>
                <w:tcPr>
                  <w:tcW w:w="57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734"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宋体" w:hAnsi="宋体"/>
                      <w:sz w:val="18"/>
                      <w:szCs w:val="18"/>
                    </w:rPr>
                    <w:t>软水设备锅炉排水</w:t>
                  </w:r>
                </w:p>
              </w:tc>
              <w:tc>
                <w:tcPr>
                  <w:tcW w:w="434"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宋体" w:hAnsi="宋体"/>
                      <w:sz w:val="18"/>
                      <w:szCs w:val="18"/>
                    </w:rPr>
                    <w:t>锅炉</w:t>
                  </w:r>
                </w:p>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宋体" w:hAnsi="宋体"/>
                      <w:sz w:val="18"/>
                      <w:szCs w:val="18"/>
                    </w:rPr>
                    <w:t>房</w:t>
                  </w:r>
                </w:p>
              </w:tc>
              <w:tc>
                <w:tcPr>
                  <w:tcW w:w="410"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宋体" w:hAnsi="宋体"/>
                      <w:sz w:val="18"/>
                      <w:szCs w:val="18"/>
                    </w:rPr>
                    <w:t>盐类</w:t>
                  </w:r>
                </w:p>
              </w:tc>
              <w:tc>
                <w:tcPr>
                  <w:tcW w:w="640"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ascii="宋体" w:hAnsi="宋体"/>
                      <w:sz w:val="18"/>
                      <w:szCs w:val="18"/>
                    </w:rPr>
                    <w:t>系数法</w:t>
                  </w:r>
                </w:p>
              </w:tc>
              <w:tc>
                <w:tcPr>
                  <w:tcW w:w="615"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325.88</w:t>
                  </w:r>
                </w:p>
              </w:tc>
              <w:tc>
                <w:tcPr>
                  <w:tcW w:w="663"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w:t>
                  </w:r>
                </w:p>
              </w:tc>
              <w:tc>
                <w:tcPr>
                  <w:tcW w:w="553"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w:t>
                  </w:r>
                </w:p>
              </w:tc>
              <w:tc>
                <w:tcPr>
                  <w:tcW w:w="452"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w:t>
                  </w:r>
                </w:p>
              </w:tc>
              <w:tc>
                <w:tcPr>
                  <w:tcW w:w="455"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437"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w:t>
                  </w:r>
                </w:p>
              </w:tc>
              <w:tc>
                <w:tcPr>
                  <w:tcW w:w="586"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w:t>
                  </w:r>
                </w:p>
              </w:tc>
              <w:tc>
                <w:tcPr>
                  <w:tcW w:w="736"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728"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577" w:type="dxa"/>
                  <w:tcBorders>
                    <w:top w:val="single" w:color="000000" w:sz="4" w:space="0"/>
                    <w:left w:val="single" w:color="000000" w:sz="4" w:space="0"/>
                    <w:bottom w:val="single" w:color="000000" w:sz="4" w:space="0"/>
                    <w:right w:val="single" w:color="000000"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w:t>
                  </w:r>
                </w:p>
              </w:tc>
            </w:tr>
          </w:tbl>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hint="eastAsia" w:eastAsia="黑体"/>
                <w:kern w:val="0"/>
                <w:sz w:val="20"/>
                <w:szCs w:val="20"/>
              </w:rPr>
              <w:t xml:space="preserve">4-7   </w:t>
            </w:r>
            <w:r>
              <w:rPr>
                <w:rFonts w:ascii="黑体" w:hAnsi="黑体" w:eastAsia="黑体"/>
                <w:kern w:val="0"/>
                <w:sz w:val="20"/>
                <w:szCs w:val="20"/>
              </w:rPr>
              <w:t>废水类别、污染物及污染治理设施信息表</w:t>
            </w:r>
          </w:p>
          <w:tbl>
            <w:tblPr>
              <w:tblStyle w:val="22"/>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677"/>
              <w:gridCol w:w="763"/>
              <w:gridCol w:w="411"/>
              <w:gridCol w:w="800"/>
              <w:gridCol w:w="761"/>
              <w:gridCol w:w="913"/>
              <w:gridCol w:w="757"/>
              <w:gridCol w:w="693"/>
              <w:gridCol w:w="761"/>
              <w:gridCol w:w="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903"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废水类别</w:t>
                  </w:r>
                </w:p>
              </w:tc>
              <w:tc>
                <w:tcPr>
                  <w:tcW w:w="677"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污染物</w:t>
                  </w:r>
                </w:p>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种类</w:t>
                  </w:r>
                </w:p>
              </w:tc>
              <w:tc>
                <w:tcPr>
                  <w:tcW w:w="763"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排放去向</w:t>
                  </w:r>
                </w:p>
              </w:tc>
              <w:tc>
                <w:tcPr>
                  <w:tcW w:w="411"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排放规律</w:t>
                  </w:r>
                </w:p>
              </w:tc>
              <w:tc>
                <w:tcPr>
                  <w:tcW w:w="3230" w:type="dxa"/>
                  <w:gridSpan w:val="4"/>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污染治理设施</w:t>
                  </w:r>
                </w:p>
              </w:tc>
              <w:tc>
                <w:tcPr>
                  <w:tcW w:w="693"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排放口编号</w:t>
                  </w:r>
                </w:p>
              </w:tc>
              <w:tc>
                <w:tcPr>
                  <w:tcW w:w="761"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排放口设置是否符合要求</w:t>
                  </w:r>
                </w:p>
              </w:tc>
              <w:tc>
                <w:tcPr>
                  <w:tcW w:w="596"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9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67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7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4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800"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污染治理设施编号</w:t>
                  </w: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污染治理设施名称</w:t>
                  </w:r>
                </w:p>
              </w:tc>
              <w:tc>
                <w:tcPr>
                  <w:tcW w:w="91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ascii="宋体" w:hAnsi="宋体"/>
                      <w:b/>
                      <w:bCs/>
                      <w:spacing w:val="-11"/>
                      <w:kern w:val="0"/>
                      <w:sz w:val="18"/>
                      <w:szCs w:val="18"/>
                    </w:rPr>
                    <w:t>污染治理设施工艺</w:t>
                  </w:r>
                </w:p>
              </w:tc>
              <w:tc>
                <w:tcPr>
                  <w:tcW w:w="757"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b/>
                      <w:bCs/>
                      <w:spacing w:val="-11"/>
                      <w:kern w:val="0"/>
                      <w:sz w:val="18"/>
                      <w:szCs w:val="18"/>
                    </w:rPr>
                  </w:pPr>
                  <w:r>
                    <w:rPr>
                      <w:rFonts w:hint="eastAsia" w:ascii="宋体" w:hAnsi="宋体"/>
                      <w:b/>
                      <w:bCs/>
                      <w:spacing w:val="-11"/>
                      <w:kern w:val="0"/>
                      <w:sz w:val="18"/>
                      <w:szCs w:val="18"/>
                    </w:rPr>
                    <w:t>是否为可行技术</w:t>
                  </w: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76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59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03" w:type="dxa"/>
                  <w:tcBorders>
                    <w:top w:val="single" w:color="auto" w:sz="4" w:space="0"/>
                    <w:left w:val="single" w:color="auto" w:sz="4" w:space="0"/>
                    <w:bottom w:val="single" w:color="auto" w:sz="4" w:space="0"/>
                    <w:right w:val="single" w:color="auto"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宋体" w:hAnsi="宋体"/>
                      <w:sz w:val="18"/>
                      <w:szCs w:val="18"/>
                    </w:rPr>
                    <w:t>软水设备锅炉排水</w:t>
                  </w:r>
                </w:p>
              </w:tc>
              <w:tc>
                <w:tcPr>
                  <w:tcW w:w="677" w:type="dxa"/>
                  <w:tcBorders>
                    <w:top w:val="single" w:color="auto" w:sz="4" w:space="0"/>
                    <w:left w:val="single" w:color="auto" w:sz="4" w:space="0"/>
                    <w:bottom w:val="single" w:color="auto" w:sz="4" w:space="0"/>
                    <w:right w:val="single" w:color="auto" w:sz="4" w:space="0"/>
                  </w:tcBorders>
                  <w:vAlign w:val="center"/>
                </w:tcPr>
                <w:p>
                  <w:pPr>
                    <w:pStyle w:val="39"/>
                    <w:autoSpaceDE w:val="0"/>
                    <w:spacing w:before="0" w:beforeAutospacing="0" w:line="280" w:lineRule="exact"/>
                    <w:ind w:left="-53" w:leftChars="-25" w:right="-53" w:rightChars="-25"/>
                    <w:jc w:val="center"/>
                    <w:rPr>
                      <w:rFonts w:ascii="Times New Roman" w:hAnsi="Times New Roman"/>
                      <w:sz w:val="18"/>
                      <w:szCs w:val="18"/>
                    </w:rPr>
                  </w:pPr>
                  <w:r>
                    <w:rPr>
                      <w:rFonts w:hint="eastAsia" w:ascii="宋体" w:hAnsi="宋体"/>
                      <w:sz w:val="18"/>
                      <w:szCs w:val="18"/>
                    </w:rPr>
                    <w:t>盐类</w:t>
                  </w:r>
                </w:p>
              </w:tc>
              <w:tc>
                <w:tcPr>
                  <w:tcW w:w="76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spacing w:val="-11"/>
                      <w:kern w:val="0"/>
                      <w:sz w:val="18"/>
                      <w:szCs w:val="18"/>
                    </w:rPr>
                  </w:pPr>
                  <w:r>
                    <w:rPr>
                      <w:rFonts w:hint="eastAsia" w:ascii="宋体" w:hAnsi="宋体"/>
                      <w:spacing w:val="-11"/>
                      <w:kern w:val="0"/>
                      <w:sz w:val="18"/>
                      <w:szCs w:val="18"/>
                    </w:rPr>
                    <w:t>公司生产车间</w:t>
                  </w:r>
                </w:p>
              </w:tc>
              <w:tc>
                <w:tcPr>
                  <w:tcW w:w="41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spacing w:val="-11"/>
                      <w:kern w:val="0"/>
                      <w:sz w:val="18"/>
                      <w:szCs w:val="18"/>
                    </w:rPr>
                  </w:pPr>
                  <w:r>
                    <w:rPr>
                      <w:rFonts w:hint="eastAsia" w:ascii="宋体" w:hAnsi="宋体"/>
                      <w:spacing w:val="-11"/>
                      <w:kern w:val="0"/>
                      <w:sz w:val="18"/>
                      <w:szCs w:val="18"/>
                    </w:rPr>
                    <w:t>间歇</w:t>
                  </w:r>
                </w:p>
              </w:tc>
              <w:tc>
                <w:tcPr>
                  <w:tcW w:w="800"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spacing w:val="-11"/>
                      <w:kern w:val="0"/>
                      <w:sz w:val="18"/>
                      <w:szCs w:val="18"/>
                    </w:rPr>
                  </w:pPr>
                  <w:r>
                    <w:rPr>
                      <w:spacing w:val="-11"/>
                      <w:kern w:val="0"/>
                      <w:sz w:val="18"/>
                      <w:szCs w:val="18"/>
                    </w:rPr>
                    <w:t>TW00</w:t>
                  </w:r>
                  <w:r>
                    <w:rPr>
                      <w:rFonts w:hint="eastAsia"/>
                      <w:spacing w:val="-11"/>
                      <w:kern w:val="0"/>
                      <w:sz w:val="18"/>
                      <w:szCs w:val="18"/>
                    </w:rPr>
                    <w:t>1</w:t>
                  </w:r>
                </w:p>
              </w:tc>
              <w:tc>
                <w:tcPr>
                  <w:tcW w:w="761"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spacing w:val="-11"/>
                      <w:kern w:val="0"/>
                      <w:sz w:val="18"/>
                      <w:szCs w:val="18"/>
                    </w:rPr>
                  </w:pPr>
                  <w:r>
                    <w:rPr>
                      <w:rFonts w:hint="eastAsia" w:ascii="宋体" w:hAnsi="宋体"/>
                      <w:spacing w:val="-11"/>
                      <w:kern w:val="0"/>
                      <w:sz w:val="18"/>
                      <w:szCs w:val="18"/>
                    </w:rPr>
                    <w:t>收集池</w:t>
                  </w:r>
                </w:p>
              </w:tc>
              <w:tc>
                <w:tcPr>
                  <w:tcW w:w="91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spacing w:val="-11"/>
                      <w:kern w:val="0"/>
                      <w:sz w:val="18"/>
                      <w:szCs w:val="18"/>
                    </w:rPr>
                  </w:pPr>
                  <w:r>
                    <w:rPr>
                      <w:rFonts w:hint="eastAsia"/>
                      <w:spacing w:val="-11"/>
                      <w:kern w:val="0"/>
                      <w:sz w:val="18"/>
                      <w:szCs w:val="18"/>
                    </w:rPr>
                    <w:t>/</w:t>
                  </w:r>
                </w:p>
              </w:tc>
              <w:tc>
                <w:tcPr>
                  <w:tcW w:w="757"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60" w:lineRule="exact"/>
                    <w:ind w:left="-71" w:leftChars="-34" w:right="-71" w:rightChars="-34"/>
                    <w:jc w:val="center"/>
                    <w:rPr>
                      <w:spacing w:val="-11"/>
                      <w:kern w:val="0"/>
                      <w:sz w:val="18"/>
                      <w:szCs w:val="18"/>
                    </w:rPr>
                  </w:pPr>
                  <w:r>
                    <w:rPr>
                      <w:rFonts w:hint="eastAsia" w:ascii="宋体" w:hAnsi="宋体"/>
                      <w:spacing w:val="-11"/>
                      <w:kern w:val="0"/>
                      <w:sz w:val="18"/>
                      <w:szCs w:val="18"/>
                    </w:rPr>
                    <w:t>是</w:t>
                  </w:r>
                </w:p>
              </w:tc>
              <w:tc>
                <w:tcPr>
                  <w:tcW w:w="693" w:type="dxa"/>
                  <w:tcBorders>
                    <w:top w:val="single" w:color="auto" w:sz="4" w:space="0"/>
                    <w:left w:val="single" w:color="auto" w:sz="4" w:space="0"/>
                    <w:bottom w:val="single" w:color="auto" w:sz="4" w:space="0"/>
                    <w:right w:val="single" w:color="auto" w:sz="4" w:space="0"/>
                  </w:tcBorders>
                  <w:vAlign w:val="center"/>
                </w:tcPr>
                <w:p>
                  <w:pPr>
                    <w:pStyle w:val="39"/>
                    <w:autoSpaceDE w:val="0"/>
                    <w:spacing w:before="0" w:beforeAutospacing="0" w:line="260" w:lineRule="exact"/>
                    <w:ind w:left="-71" w:leftChars="-34" w:right="-71" w:rightChars="-34"/>
                    <w:jc w:val="center"/>
                    <w:rPr>
                      <w:rFonts w:ascii="Times New Roman" w:hAnsi="Times New Roman"/>
                      <w:spacing w:val="-11"/>
                      <w:sz w:val="18"/>
                      <w:szCs w:val="18"/>
                    </w:rPr>
                  </w:pPr>
                  <w:r>
                    <w:rPr>
                      <w:rFonts w:hint="eastAsia" w:ascii="Times New Roman" w:hAnsi="Times New Roman"/>
                      <w:spacing w:val="-11"/>
                      <w:sz w:val="18"/>
                      <w:szCs w:val="18"/>
                    </w:rPr>
                    <w:t>/</w:t>
                  </w:r>
                </w:p>
              </w:tc>
              <w:tc>
                <w:tcPr>
                  <w:tcW w:w="761" w:type="dxa"/>
                  <w:tcBorders>
                    <w:top w:val="single" w:color="auto" w:sz="4" w:space="0"/>
                    <w:left w:val="single" w:color="auto" w:sz="4" w:space="0"/>
                    <w:bottom w:val="single" w:color="auto" w:sz="4" w:space="0"/>
                    <w:right w:val="single" w:color="auto" w:sz="4" w:space="0"/>
                  </w:tcBorders>
                  <w:vAlign w:val="center"/>
                </w:tcPr>
                <w:p>
                  <w:pPr>
                    <w:pStyle w:val="39"/>
                    <w:autoSpaceDE w:val="0"/>
                    <w:spacing w:before="0" w:beforeAutospacing="0" w:line="260" w:lineRule="exact"/>
                    <w:ind w:left="-71" w:leftChars="-34" w:right="-71" w:rightChars="-34"/>
                    <w:jc w:val="center"/>
                    <w:rPr>
                      <w:rFonts w:ascii="Times New Roman" w:hAnsi="Times New Roman"/>
                      <w:spacing w:val="-11"/>
                      <w:sz w:val="18"/>
                      <w:szCs w:val="18"/>
                    </w:rPr>
                  </w:pPr>
                  <w:r>
                    <w:rPr>
                      <w:rFonts w:hint="eastAsia" w:ascii="Times New Roman" w:hAnsi="Times New Roman"/>
                      <w:spacing w:val="-11"/>
                      <w:sz w:val="18"/>
                      <w:szCs w:val="18"/>
                    </w:rPr>
                    <w:t>/</w:t>
                  </w:r>
                </w:p>
              </w:tc>
              <w:tc>
                <w:tcPr>
                  <w:tcW w:w="596" w:type="dxa"/>
                  <w:tcBorders>
                    <w:top w:val="single" w:color="auto" w:sz="4" w:space="0"/>
                    <w:left w:val="single" w:color="auto" w:sz="4" w:space="0"/>
                    <w:bottom w:val="single" w:color="auto" w:sz="4" w:space="0"/>
                    <w:right w:val="single" w:color="auto" w:sz="4" w:space="0"/>
                  </w:tcBorders>
                  <w:vAlign w:val="center"/>
                </w:tcPr>
                <w:p>
                  <w:pPr>
                    <w:pStyle w:val="39"/>
                    <w:autoSpaceDE w:val="0"/>
                    <w:spacing w:before="0" w:beforeAutospacing="0" w:line="260" w:lineRule="exact"/>
                    <w:ind w:left="-71" w:leftChars="-34" w:right="-71" w:rightChars="-34"/>
                    <w:jc w:val="center"/>
                    <w:rPr>
                      <w:rFonts w:ascii="Times New Roman" w:hAnsi="Times New Roman"/>
                      <w:spacing w:val="-11"/>
                      <w:sz w:val="18"/>
                      <w:szCs w:val="18"/>
                    </w:rPr>
                  </w:pPr>
                  <w:r>
                    <w:rPr>
                      <w:rFonts w:hint="eastAsia" w:ascii="Times New Roman" w:hAnsi="Times New Roman"/>
                      <w:spacing w:val="-11"/>
                      <w:sz w:val="18"/>
                      <w:szCs w:val="18"/>
                    </w:rPr>
                    <w:t>/</w:t>
                  </w:r>
                </w:p>
              </w:tc>
            </w:tr>
          </w:tbl>
          <w:p>
            <w:pPr>
              <w:autoSpaceDE w:val="0"/>
              <w:autoSpaceDN w:val="0"/>
              <w:adjustRightInd w:val="0"/>
              <w:snapToGrid w:val="0"/>
              <w:spacing w:line="400" w:lineRule="exact"/>
              <w:ind w:firstLine="422" w:firstLineChars="200"/>
              <w:jc w:val="left"/>
              <w:rPr>
                <w:b/>
                <w:bCs/>
                <w:kern w:val="0"/>
              </w:rPr>
            </w:pPr>
            <w:r>
              <w:rPr>
                <w:rFonts w:ascii="宋体" w:hAnsi="宋体"/>
                <w:b/>
                <w:bCs/>
                <w:kern w:val="0"/>
              </w:rPr>
              <w:t>（</w:t>
            </w:r>
            <w:r>
              <w:rPr>
                <w:rFonts w:hint="eastAsia"/>
                <w:b/>
                <w:bCs/>
                <w:kern w:val="0"/>
              </w:rPr>
              <w:t>4</w:t>
            </w:r>
            <w:r>
              <w:rPr>
                <w:rFonts w:ascii="宋体" w:hAnsi="宋体"/>
                <w:b/>
                <w:bCs/>
                <w:kern w:val="0"/>
              </w:rPr>
              <w:t>）</w:t>
            </w:r>
            <w:r>
              <w:rPr>
                <w:rFonts w:hint="eastAsia" w:ascii="宋体" w:hAnsi="宋体"/>
                <w:b/>
                <w:bCs/>
                <w:kern w:val="0"/>
              </w:rPr>
              <w:t>生活污水依托处理的可行性</w:t>
            </w:r>
            <w:r>
              <w:rPr>
                <w:rFonts w:ascii="宋体" w:hAnsi="宋体"/>
                <w:b/>
                <w:bCs/>
                <w:kern w:val="0"/>
              </w:rPr>
              <w:t>分析</w:t>
            </w:r>
          </w:p>
          <w:p>
            <w:pPr>
              <w:autoSpaceDE w:val="0"/>
              <w:autoSpaceDN w:val="0"/>
              <w:adjustRightInd w:val="0"/>
              <w:snapToGrid w:val="0"/>
              <w:spacing w:line="400" w:lineRule="exact"/>
              <w:ind w:firstLine="420" w:firstLineChars="200"/>
              <w:jc w:val="left"/>
              <w:rPr>
                <w:rFonts w:ascii="宋体" w:hAnsi="宋体"/>
                <w:kern w:val="0"/>
              </w:rPr>
            </w:pPr>
            <w:r>
              <w:rPr>
                <w:rFonts w:hint="eastAsia" w:ascii="宋体" w:hAnsi="宋体"/>
                <w:kern w:val="0"/>
              </w:rPr>
              <w:t>根据调查，东岳镇生活污水处理厂位于东岳镇山桥村，处置规模</w:t>
            </w:r>
            <w:r>
              <w:rPr>
                <w:rFonts w:hint="eastAsia"/>
                <w:kern w:val="0"/>
              </w:rPr>
              <w:t>1000m</w:t>
            </w:r>
            <w:r>
              <w:rPr>
                <w:rFonts w:hint="eastAsia"/>
                <w:kern w:val="0"/>
                <w:vertAlign w:val="superscript"/>
              </w:rPr>
              <w:t>3</w:t>
            </w:r>
            <w:r>
              <w:rPr>
                <w:rFonts w:hint="eastAsia"/>
                <w:kern w:val="0"/>
              </w:rPr>
              <w:t>/d</w:t>
            </w:r>
            <w:r>
              <w:rPr>
                <w:rFonts w:hint="eastAsia" w:ascii="宋体" w:hAnsi="宋体"/>
                <w:kern w:val="0"/>
              </w:rPr>
              <w:t>，采用</w:t>
            </w:r>
            <w:r>
              <w:rPr>
                <w:rFonts w:hint="eastAsia"/>
                <w:kern w:val="0"/>
              </w:rPr>
              <w:t>PASG</w:t>
            </w:r>
            <w:r>
              <w:rPr>
                <w:rFonts w:hint="eastAsia" w:ascii="宋体" w:hAnsi="宋体"/>
                <w:kern w:val="0"/>
              </w:rPr>
              <w:t>工艺，出水水质执行《城镇污水处理厂污染物排放标准》（</w:t>
            </w:r>
            <w:r>
              <w:rPr>
                <w:rFonts w:hint="eastAsia"/>
                <w:kern w:val="0"/>
              </w:rPr>
              <w:t>GB18918-2002</w:t>
            </w:r>
            <w:r>
              <w:rPr>
                <w:rFonts w:hint="eastAsia" w:ascii="宋体" w:hAnsi="宋体"/>
                <w:kern w:val="0"/>
              </w:rPr>
              <w:t>）中一级</w:t>
            </w:r>
            <w:r>
              <w:rPr>
                <w:rFonts w:hint="eastAsia"/>
                <w:kern w:val="0"/>
              </w:rPr>
              <w:t>A</w:t>
            </w:r>
            <w:r>
              <w:rPr>
                <w:rFonts w:hint="eastAsia" w:ascii="宋体" w:hAnsi="宋体"/>
                <w:kern w:val="0"/>
              </w:rPr>
              <w:t>标准，纳污水体为双龙河。目前该污水处理厂已建成投入运行，纳污范围主要为东岳镇场镇范围主要处理生活污水。</w:t>
            </w:r>
          </w:p>
          <w:p>
            <w:pPr>
              <w:autoSpaceDE w:val="0"/>
              <w:autoSpaceDN w:val="0"/>
              <w:adjustRightInd w:val="0"/>
              <w:snapToGrid w:val="0"/>
              <w:spacing w:line="400" w:lineRule="exact"/>
              <w:ind w:firstLine="420" w:firstLineChars="200"/>
              <w:jc w:val="left"/>
              <w:rPr>
                <w:kern w:val="0"/>
              </w:rPr>
            </w:pPr>
            <w:r>
              <w:rPr>
                <w:rFonts w:hint="eastAsia" w:ascii="宋体" w:hAnsi="宋体"/>
                <w:kern w:val="0"/>
              </w:rPr>
              <w:t>本项目锅炉废气利用洗涤废水处理池预处理后，达到《污水综合排放标准》(GB8978-1996)Ⅲ类水质标准，经自建管网2.0km排入东岳场镇污水管网，最终进入东岳场镇污水处理厂。洁泰洗涤厂洗涤废水产生量约50m</w:t>
            </w:r>
            <w:r>
              <w:rPr>
                <w:rFonts w:hint="eastAsia" w:ascii="宋体" w:hAnsi="宋体"/>
                <w:kern w:val="0"/>
                <w:vertAlign w:val="superscript"/>
              </w:rPr>
              <w:t>3</w:t>
            </w:r>
            <w:r>
              <w:rPr>
                <w:rFonts w:hint="eastAsia" w:ascii="宋体" w:hAnsi="宋体"/>
                <w:kern w:val="0"/>
              </w:rPr>
              <w:t>/d，本项目锅炉废水产生量约3.62m</w:t>
            </w:r>
            <w:r>
              <w:rPr>
                <w:rFonts w:hint="eastAsia" w:ascii="宋体" w:hAnsi="宋体"/>
                <w:kern w:val="0"/>
                <w:vertAlign w:val="superscript"/>
              </w:rPr>
              <w:t>3</w:t>
            </w:r>
            <w:r>
              <w:rPr>
                <w:rFonts w:hint="eastAsia" w:ascii="宋体" w:hAnsi="宋体"/>
                <w:kern w:val="0"/>
              </w:rPr>
              <w:t>/d（325.88m</w:t>
            </w:r>
            <w:r>
              <w:rPr>
                <w:rFonts w:hint="eastAsia" w:ascii="宋体" w:hAnsi="宋体"/>
                <w:kern w:val="0"/>
                <w:vertAlign w:val="superscript"/>
              </w:rPr>
              <w:t>3</w:t>
            </w:r>
            <w:r>
              <w:rPr>
                <w:rFonts w:hint="eastAsia" w:ascii="宋体" w:hAnsi="宋体"/>
                <w:kern w:val="0"/>
              </w:rPr>
              <w:t>/a），其污水远小于东岳镇生活污水处理厂的处理能力，仅占</w:t>
            </w:r>
            <w:r>
              <w:rPr>
                <w:rFonts w:hint="eastAsia"/>
                <w:kern w:val="0"/>
              </w:rPr>
              <w:t>5.36%</w:t>
            </w:r>
            <w:r>
              <w:rPr>
                <w:rFonts w:hint="eastAsia" w:ascii="宋体" w:hAnsi="宋体"/>
                <w:kern w:val="0"/>
              </w:rPr>
              <w:t>，水量不会突破污水厂的处理能力。因此，公司生活污水排入东岳镇生活污水处理厂处理是可行的，也是可靠的。</w:t>
            </w:r>
          </w:p>
          <w:p>
            <w:pPr>
              <w:autoSpaceDE w:val="0"/>
              <w:adjustRightInd w:val="0"/>
              <w:snapToGrid w:val="0"/>
              <w:spacing w:line="400" w:lineRule="exact"/>
              <w:ind w:left="-53" w:leftChars="-25" w:right="-53" w:rightChars="-25"/>
              <w:jc w:val="left"/>
              <w:rPr>
                <w:rFonts w:eastAsia="黑体"/>
                <w:bCs/>
                <w:sz w:val="22"/>
                <w:szCs w:val="22"/>
              </w:rPr>
            </w:pPr>
            <w:r>
              <w:rPr>
                <w:rFonts w:eastAsia="黑体"/>
                <w:bCs/>
                <w:sz w:val="22"/>
                <w:szCs w:val="22"/>
              </w:rPr>
              <w:t>3</w:t>
            </w:r>
            <w:r>
              <w:rPr>
                <w:rFonts w:ascii="黑体" w:hAnsi="黑体" w:eastAsia="黑体"/>
                <w:bCs/>
                <w:sz w:val="22"/>
                <w:szCs w:val="22"/>
              </w:rPr>
              <w:t>、噪声</w:t>
            </w:r>
          </w:p>
          <w:p>
            <w:pPr>
              <w:autoSpaceDE w:val="0"/>
              <w:autoSpaceDN w:val="0"/>
              <w:adjustRightInd w:val="0"/>
              <w:snapToGrid w:val="0"/>
              <w:spacing w:line="400" w:lineRule="exact"/>
              <w:ind w:firstLine="422" w:firstLineChars="200"/>
              <w:jc w:val="left"/>
              <w:rPr>
                <w:b/>
                <w:bCs/>
                <w:kern w:val="0"/>
                <w:szCs w:val="21"/>
              </w:rPr>
            </w:pPr>
            <w:r>
              <w:rPr>
                <w:rFonts w:ascii="宋体" w:hAnsi="宋体"/>
                <w:b/>
                <w:bCs/>
                <w:kern w:val="0"/>
              </w:rPr>
              <w:t>（</w:t>
            </w:r>
            <w:r>
              <w:rPr>
                <w:b/>
                <w:bCs/>
                <w:kern w:val="0"/>
              </w:rPr>
              <w:t>1</w:t>
            </w:r>
            <w:r>
              <w:rPr>
                <w:rFonts w:ascii="宋体" w:hAnsi="宋体"/>
                <w:b/>
                <w:bCs/>
                <w:kern w:val="0"/>
              </w:rPr>
              <w:t>）噪声源强</w:t>
            </w:r>
          </w:p>
          <w:p>
            <w:pPr>
              <w:autoSpaceDE w:val="0"/>
              <w:autoSpaceDN w:val="0"/>
              <w:adjustRightInd w:val="0"/>
              <w:snapToGrid w:val="0"/>
              <w:spacing w:line="400" w:lineRule="exact"/>
              <w:ind w:firstLine="420" w:firstLineChars="200"/>
              <w:jc w:val="left"/>
              <w:rPr>
                <w:kern w:val="0"/>
                <w:sz w:val="24"/>
              </w:rPr>
            </w:pPr>
            <w:r>
              <w:rPr>
                <w:rFonts w:ascii="宋体" w:hAnsi="宋体"/>
                <w:kern w:val="0"/>
              </w:rPr>
              <w:t>营运期噪声主要为锅炉燃烧器产生的空气动力噪声和鼓（引）风机</w:t>
            </w:r>
            <w:r>
              <w:rPr>
                <w:rFonts w:hint="eastAsia" w:ascii="宋体" w:hAnsi="宋体"/>
                <w:kern w:val="0"/>
                <w:lang w:eastAsia="zh-CN"/>
              </w:rPr>
              <w:t>，以及</w:t>
            </w:r>
            <w:r>
              <w:rPr>
                <w:rFonts w:ascii="宋体" w:hAnsi="宋体"/>
                <w:kern w:val="0"/>
              </w:rPr>
              <w:t>水泵等机械设备运行时产生的机械噪声</w:t>
            </w:r>
            <w:r>
              <w:rPr>
                <w:rFonts w:hint="eastAsia" w:ascii="宋体" w:hAnsi="宋体"/>
                <w:kern w:val="0"/>
              </w:rPr>
              <w:t>等</w:t>
            </w:r>
            <w:r>
              <w:rPr>
                <w:rFonts w:ascii="宋体" w:hAnsi="宋体"/>
                <w:kern w:val="0"/>
              </w:rPr>
              <w:t>，噪声源强为</w:t>
            </w:r>
            <w:r>
              <w:rPr>
                <w:rFonts w:hint="eastAsia"/>
                <w:kern w:val="0"/>
              </w:rPr>
              <w:t>80</w:t>
            </w:r>
            <w:r>
              <w:rPr>
                <w:rFonts w:ascii="宋体" w:hAnsi="宋体"/>
                <w:kern w:val="0"/>
              </w:rPr>
              <w:t>～</w:t>
            </w:r>
            <w:r>
              <w:rPr>
                <w:kern w:val="0"/>
              </w:rPr>
              <w:t>9</w:t>
            </w:r>
            <w:r>
              <w:rPr>
                <w:rFonts w:hint="eastAsia"/>
                <w:kern w:val="0"/>
              </w:rPr>
              <w:t>0</w:t>
            </w:r>
            <w:r>
              <w:rPr>
                <w:kern w:val="0"/>
              </w:rPr>
              <w:t>dB(A)</w:t>
            </w:r>
            <w:r>
              <w:rPr>
                <w:rFonts w:ascii="宋体" w:hAnsi="宋体"/>
                <w:kern w:val="0"/>
              </w:rPr>
              <w:t>。</w:t>
            </w:r>
            <w:r>
              <w:rPr>
                <w:rFonts w:hint="eastAsia"/>
                <w:kern w:val="0"/>
              </w:rPr>
              <w:t xml:space="preserve"> </w:t>
            </w:r>
          </w:p>
          <w:p>
            <w:pPr>
              <w:autoSpaceDE w:val="0"/>
              <w:autoSpaceDN w:val="0"/>
              <w:adjustRightInd w:val="0"/>
              <w:snapToGrid w:val="0"/>
              <w:spacing w:line="320" w:lineRule="exact"/>
              <w:jc w:val="center"/>
              <w:rPr>
                <w:rFonts w:eastAsia="黑体"/>
                <w:kern w:val="0"/>
                <w:sz w:val="18"/>
                <w:szCs w:val="20"/>
              </w:rPr>
            </w:pPr>
            <w:r>
              <w:rPr>
                <w:rFonts w:ascii="黑体" w:hAnsi="黑体" w:eastAsia="黑体"/>
                <w:kern w:val="0"/>
                <w:sz w:val="18"/>
                <w:szCs w:val="20"/>
              </w:rPr>
              <w:t>表</w:t>
            </w:r>
            <w:r>
              <w:rPr>
                <w:rFonts w:eastAsia="黑体"/>
                <w:kern w:val="0"/>
                <w:sz w:val="18"/>
                <w:szCs w:val="20"/>
              </w:rPr>
              <w:t>4-</w:t>
            </w:r>
            <w:r>
              <w:rPr>
                <w:rFonts w:hint="eastAsia" w:eastAsia="黑体"/>
                <w:kern w:val="0"/>
                <w:sz w:val="18"/>
                <w:szCs w:val="20"/>
              </w:rPr>
              <w:t>8</w:t>
            </w:r>
            <w:r>
              <w:rPr>
                <w:rFonts w:eastAsia="黑体"/>
                <w:kern w:val="0"/>
                <w:sz w:val="18"/>
                <w:szCs w:val="20"/>
              </w:rPr>
              <w:t xml:space="preserve">  </w:t>
            </w:r>
            <w:r>
              <w:rPr>
                <w:rFonts w:ascii="黑体" w:hAnsi="黑体" w:eastAsia="黑体"/>
                <w:kern w:val="0"/>
                <w:sz w:val="18"/>
                <w:szCs w:val="20"/>
              </w:rPr>
              <w:t>主要噪声污染源源强核算一览表</w:t>
            </w:r>
            <w:r>
              <w:rPr>
                <w:rFonts w:eastAsia="黑体"/>
                <w:kern w:val="0"/>
                <w:sz w:val="18"/>
                <w:szCs w:val="20"/>
              </w:rPr>
              <w:t xml:space="preserve"> </w:t>
            </w:r>
            <w:r>
              <w:rPr>
                <w:rFonts w:hint="eastAsia" w:eastAsia="黑体"/>
                <w:kern w:val="0"/>
                <w:sz w:val="18"/>
                <w:szCs w:val="20"/>
              </w:rPr>
              <w:t xml:space="preserve"> </w:t>
            </w:r>
            <w:r>
              <w:rPr>
                <w:rFonts w:ascii="黑体" w:hAnsi="黑体" w:eastAsia="黑体"/>
                <w:kern w:val="0"/>
                <w:sz w:val="18"/>
                <w:szCs w:val="20"/>
              </w:rPr>
              <w:t>单位：</w:t>
            </w:r>
            <w:r>
              <w:rPr>
                <w:rFonts w:eastAsia="黑体"/>
                <w:kern w:val="0"/>
                <w:sz w:val="18"/>
                <w:szCs w:val="20"/>
              </w:rPr>
              <w:t>dB</w:t>
            </w:r>
            <w:r>
              <w:rPr>
                <w:rFonts w:ascii="黑体" w:hAnsi="黑体" w:eastAsia="黑体"/>
                <w:kern w:val="0"/>
                <w:sz w:val="18"/>
                <w:szCs w:val="20"/>
              </w:rPr>
              <w:t>（</w:t>
            </w:r>
            <w:r>
              <w:rPr>
                <w:rFonts w:eastAsia="黑体"/>
                <w:kern w:val="0"/>
                <w:sz w:val="18"/>
                <w:szCs w:val="20"/>
              </w:rPr>
              <w:t>A</w:t>
            </w:r>
            <w:r>
              <w:rPr>
                <w:rFonts w:ascii="黑体" w:hAnsi="黑体" w:eastAsia="黑体"/>
                <w:kern w:val="0"/>
                <w:sz w:val="18"/>
                <w:szCs w:val="20"/>
              </w:rPr>
              <w:t>）</w:t>
            </w:r>
          </w:p>
          <w:tbl>
            <w:tblPr>
              <w:tblStyle w:val="21"/>
              <w:tblW w:w="8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3"/>
              <w:gridCol w:w="783"/>
              <w:gridCol w:w="554"/>
              <w:gridCol w:w="866"/>
              <w:gridCol w:w="624"/>
              <w:gridCol w:w="908"/>
              <w:gridCol w:w="796"/>
              <w:gridCol w:w="866"/>
              <w:gridCol w:w="829"/>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 w:hRule="atLeast"/>
                <w:jc w:val="center"/>
              </w:trPr>
              <w:tc>
                <w:tcPr>
                  <w:tcW w:w="1013"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工序</w:t>
                  </w:r>
                  <w:r>
                    <w:rPr>
                      <w:b/>
                      <w:bCs/>
                      <w:sz w:val="18"/>
                      <w:szCs w:val="18"/>
                    </w:rPr>
                    <w:t>/</w:t>
                  </w:r>
                  <w:r>
                    <w:rPr>
                      <w:rFonts w:ascii="宋体" w:hAnsi="宋体"/>
                      <w:b/>
                      <w:bCs/>
                      <w:sz w:val="18"/>
                      <w:szCs w:val="18"/>
                    </w:rPr>
                    <w:t>生产线</w:t>
                  </w:r>
                </w:p>
              </w:tc>
              <w:tc>
                <w:tcPr>
                  <w:tcW w:w="783"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噪声源</w:t>
                  </w:r>
                </w:p>
              </w:tc>
              <w:tc>
                <w:tcPr>
                  <w:tcW w:w="554"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声源</w:t>
                  </w:r>
                </w:p>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类型</w:t>
                  </w:r>
                </w:p>
              </w:tc>
              <w:tc>
                <w:tcPr>
                  <w:tcW w:w="1490" w:type="dxa"/>
                  <w:gridSpan w:val="2"/>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噪声源强</w:t>
                  </w:r>
                </w:p>
              </w:tc>
              <w:tc>
                <w:tcPr>
                  <w:tcW w:w="1704" w:type="dxa"/>
                  <w:gridSpan w:val="2"/>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降噪措施</w:t>
                  </w:r>
                </w:p>
              </w:tc>
              <w:tc>
                <w:tcPr>
                  <w:tcW w:w="1694" w:type="dxa"/>
                  <w:gridSpan w:val="2"/>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噪声排放值</w:t>
                  </w:r>
                </w:p>
              </w:tc>
              <w:tc>
                <w:tcPr>
                  <w:tcW w:w="774" w:type="dxa"/>
                  <w:vMerge w:val="restart"/>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持续时间</w:t>
                  </w:r>
                  <w:r>
                    <w:rPr>
                      <w:b/>
                      <w:bCs/>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 w:hRule="atLeast"/>
                <w:jc w:val="center"/>
              </w:trPr>
              <w:tc>
                <w:tcPr>
                  <w:tcW w:w="10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7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55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核算方法</w:t>
                  </w:r>
                </w:p>
              </w:tc>
              <w:tc>
                <w:tcPr>
                  <w:tcW w:w="624"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噪声值</w:t>
                  </w:r>
                </w:p>
              </w:tc>
              <w:tc>
                <w:tcPr>
                  <w:tcW w:w="908"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工艺</w:t>
                  </w:r>
                </w:p>
              </w:tc>
              <w:tc>
                <w:tcPr>
                  <w:tcW w:w="79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降噪效果</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核算方法</w:t>
                  </w:r>
                </w:p>
              </w:tc>
              <w:tc>
                <w:tcPr>
                  <w:tcW w:w="829"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b/>
                      <w:bCs/>
                      <w:sz w:val="18"/>
                      <w:szCs w:val="18"/>
                    </w:rPr>
                  </w:pPr>
                  <w:r>
                    <w:rPr>
                      <w:rFonts w:ascii="宋体" w:hAnsi="宋体"/>
                      <w:b/>
                      <w:bCs/>
                      <w:sz w:val="18"/>
                      <w:szCs w:val="18"/>
                    </w:rPr>
                    <w:t>排放强度</w:t>
                  </w:r>
                </w:p>
              </w:tc>
              <w:tc>
                <w:tcPr>
                  <w:tcW w:w="77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hint="eastAsia" w:ascii="宋体" w:hAnsi="宋体"/>
                      <w:sz w:val="18"/>
                      <w:szCs w:val="18"/>
                    </w:rPr>
                    <w:t>锅炉房</w:t>
                  </w:r>
                </w:p>
              </w:tc>
              <w:tc>
                <w:tcPr>
                  <w:tcW w:w="78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hint="eastAsia" w:ascii="宋体" w:hAnsi="宋体"/>
                      <w:sz w:val="18"/>
                      <w:szCs w:val="18"/>
                    </w:rPr>
                    <w:t>燃烧器</w:t>
                  </w:r>
                </w:p>
              </w:tc>
              <w:tc>
                <w:tcPr>
                  <w:tcW w:w="554"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rFonts w:hint="eastAsia" w:ascii="宋体" w:hAnsi="宋体"/>
                      <w:sz w:val="18"/>
                      <w:szCs w:val="18"/>
                    </w:rPr>
                    <w:t>偶</w:t>
                  </w:r>
                  <w:r>
                    <w:rPr>
                      <w:rFonts w:ascii="宋体" w:hAnsi="宋体"/>
                      <w:sz w:val="18"/>
                      <w:szCs w:val="18"/>
                    </w:rPr>
                    <w:t>发</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ascii="宋体" w:hAnsi="宋体"/>
                      <w:sz w:val="18"/>
                      <w:szCs w:val="18"/>
                    </w:rPr>
                    <w:t>类比法</w:t>
                  </w:r>
                </w:p>
              </w:tc>
              <w:tc>
                <w:tcPr>
                  <w:tcW w:w="624"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kern w:val="0"/>
                      <w:sz w:val="18"/>
                      <w:szCs w:val="18"/>
                    </w:rPr>
                    <w:t>8</w:t>
                  </w:r>
                  <w:r>
                    <w:rPr>
                      <w:rFonts w:hint="eastAsia"/>
                      <w:kern w:val="0"/>
                      <w:sz w:val="18"/>
                      <w:szCs w:val="18"/>
                    </w:rPr>
                    <w:t>0</w:t>
                  </w:r>
                </w:p>
              </w:tc>
              <w:tc>
                <w:tcPr>
                  <w:tcW w:w="908" w:type="dxa"/>
                  <w:vMerge w:val="restart"/>
                  <w:tcBorders>
                    <w:top w:val="nil"/>
                    <w:left w:val="single" w:color="auto" w:sz="4" w:space="0"/>
                    <w:bottom w:val="single" w:color="auto" w:sz="4" w:space="0"/>
                    <w:right w:val="single" w:color="auto" w:sz="4" w:space="0"/>
                  </w:tcBorders>
                  <w:vAlign w:val="center"/>
                </w:tcPr>
                <w:p>
                  <w:pPr>
                    <w:autoSpaceDE w:val="0"/>
                    <w:adjustRightInd w:val="0"/>
                    <w:snapToGrid w:val="0"/>
                    <w:spacing w:line="300" w:lineRule="exact"/>
                    <w:ind w:left="21" w:leftChars="10" w:right="21" w:rightChars="10"/>
                    <w:rPr>
                      <w:sz w:val="18"/>
                      <w:szCs w:val="18"/>
                    </w:rPr>
                  </w:pPr>
                  <w:r>
                    <w:rPr>
                      <w:rFonts w:ascii="宋体" w:hAnsi="宋体"/>
                      <w:sz w:val="18"/>
                      <w:szCs w:val="18"/>
                    </w:rPr>
                    <w:t>优选设备</w:t>
                  </w:r>
                  <w:r>
                    <w:rPr>
                      <w:rFonts w:hint="eastAsia" w:ascii="宋体" w:hAnsi="宋体"/>
                      <w:sz w:val="18"/>
                      <w:szCs w:val="18"/>
                    </w:rPr>
                    <w:t>、</w:t>
                  </w:r>
                  <w:r>
                    <w:rPr>
                      <w:rFonts w:ascii="宋体" w:hAnsi="宋体"/>
                      <w:sz w:val="18"/>
                      <w:szCs w:val="18"/>
                    </w:rPr>
                    <w:t>减振消声</w:t>
                  </w:r>
                  <w:r>
                    <w:rPr>
                      <w:rFonts w:hint="eastAsia" w:ascii="宋体" w:hAnsi="宋体"/>
                      <w:sz w:val="18"/>
                      <w:szCs w:val="18"/>
                    </w:rPr>
                    <w:t>、建筑</w:t>
                  </w:r>
                  <w:r>
                    <w:rPr>
                      <w:rFonts w:ascii="宋体" w:hAnsi="宋体"/>
                      <w:sz w:val="18"/>
                      <w:szCs w:val="18"/>
                    </w:rPr>
                    <w:t>隔声</w:t>
                  </w:r>
                </w:p>
              </w:tc>
              <w:tc>
                <w:tcPr>
                  <w:tcW w:w="79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sz w:val="18"/>
                      <w:szCs w:val="18"/>
                    </w:rPr>
                    <w:t>20</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ascii="宋体" w:hAnsi="宋体"/>
                      <w:sz w:val="18"/>
                      <w:szCs w:val="18"/>
                    </w:rPr>
                    <w:t>类比法</w:t>
                  </w:r>
                </w:p>
              </w:tc>
              <w:tc>
                <w:tcPr>
                  <w:tcW w:w="829"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kern w:val="0"/>
                      <w:sz w:val="18"/>
                      <w:szCs w:val="18"/>
                    </w:rPr>
                    <w:t>6</w:t>
                  </w:r>
                  <w:r>
                    <w:rPr>
                      <w:rFonts w:hint="eastAsia"/>
                      <w:kern w:val="0"/>
                      <w:sz w:val="18"/>
                      <w:szCs w:val="18"/>
                    </w:rPr>
                    <w:t>0</w:t>
                  </w:r>
                </w:p>
              </w:tc>
              <w:tc>
                <w:tcPr>
                  <w:tcW w:w="774"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hint="eastAsia"/>
                      <w:sz w:val="18"/>
                      <w:szCs w:val="18"/>
                    </w:rPr>
                    <w:t>80</w:t>
                  </w: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hint="eastAsia" w:ascii="宋体" w:hAnsi="宋体"/>
                      <w:sz w:val="18"/>
                      <w:szCs w:val="18"/>
                    </w:rPr>
                    <w:t>锅炉房</w:t>
                  </w:r>
                </w:p>
              </w:tc>
              <w:tc>
                <w:tcPr>
                  <w:tcW w:w="78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hint="eastAsia" w:ascii="宋体" w:hAnsi="宋体"/>
                      <w:sz w:val="18"/>
                      <w:szCs w:val="18"/>
                    </w:rPr>
                    <w:t>鼓风机</w:t>
                  </w:r>
                </w:p>
              </w:tc>
              <w:tc>
                <w:tcPr>
                  <w:tcW w:w="554"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rFonts w:hint="eastAsia" w:ascii="宋体" w:hAnsi="宋体"/>
                      <w:sz w:val="18"/>
                      <w:szCs w:val="18"/>
                    </w:rPr>
                    <w:t>偶</w:t>
                  </w:r>
                  <w:r>
                    <w:rPr>
                      <w:rFonts w:ascii="宋体" w:hAnsi="宋体"/>
                      <w:sz w:val="18"/>
                      <w:szCs w:val="18"/>
                    </w:rPr>
                    <w:t>发</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ascii="宋体" w:hAnsi="宋体"/>
                      <w:sz w:val="18"/>
                      <w:szCs w:val="18"/>
                    </w:rPr>
                    <w:t>类比法</w:t>
                  </w:r>
                </w:p>
              </w:tc>
              <w:tc>
                <w:tcPr>
                  <w:tcW w:w="624"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kern w:val="0"/>
                      <w:sz w:val="18"/>
                      <w:szCs w:val="18"/>
                    </w:rPr>
                    <w:t>90</w:t>
                  </w:r>
                </w:p>
              </w:tc>
              <w:tc>
                <w:tcPr>
                  <w:tcW w:w="90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79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sz w:val="18"/>
                      <w:szCs w:val="18"/>
                    </w:rPr>
                    <w:t>20</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ascii="宋体" w:hAnsi="宋体"/>
                      <w:sz w:val="18"/>
                      <w:szCs w:val="18"/>
                    </w:rPr>
                    <w:t>类比法</w:t>
                  </w:r>
                </w:p>
              </w:tc>
              <w:tc>
                <w:tcPr>
                  <w:tcW w:w="829"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kern w:val="0"/>
                      <w:sz w:val="18"/>
                      <w:szCs w:val="18"/>
                    </w:rPr>
                    <w:t>70</w:t>
                  </w:r>
                </w:p>
              </w:tc>
              <w:tc>
                <w:tcPr>
                  <w:tcW w:w="774"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hint="eastAsia"/>
                      <w:sz w:val="18"/>
                      <w:szCs w:val="18"/>
                    </w:rPr>
                    <w:t>8</w:t>
                  </w:r>
                  <w:r>
                    <w:rPr>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 w:hRule="atLeast"/>
                <w:jc w:val="center"/>
              </w:trPr>
              <w:tc>
                <w:tcPr>
                  <w:tcW w:w="1013"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hint="eastAsia" w:ascii="宋体" w:hAnsi="宋体"/>
                      <w:sz w:val="18"/>
                      <w:szCs w:val="18"/>
                    </w:rPr>
                    <w:t>锅炉房</w:t>
                  </w:r>
                </w:p>
              </w:tc>
              <w:tc>
                <w:tcPr>
                  <w:tcW w:w="783" w:type="dxa"/>
                  <w:tcBorders>
                    <w:top w:val="single" w:color="auto" w:sz="4" w:space="0"/>
                    <w:left w:val="single" w:color="auto" w:sz="4" w:space="0"/>
                    <w:bottom w:val="single" w:color="auto" w:sz="4" w:space="0"/>
                    <w:right w:val="single" w:color="auto" w:sz="4" w:space="0"/>
                  </w:tcBorders>
                  <w:vAlign w:val="center"/>
                </w:tcPr>
                <w:p>
                  <w:pPr>
                    <w:autoSpaceDE w:val="0"/>
                    <w:spacing w:line="300" w:lineRule="exact"/>
                    <w:jc w:val="center"/>
                    <w:rPr>
                      <w:sz w:val="18"/>
                      <w:szCs w:val="18"/>
                    </w:rPr>
                  </w:pPr>
                  <w:r>
                    <w:rPr>
                      <w:rFonts w:hint="eastAsia" w:ascii="宋体" w:hAnsi="宋体"/>
                      <w:sz w:val="18"/>
                      <w:szCs w:val="18"/>
                    </w:rPr>
                    <w:t>水泵</w:t>
                  </w:r>
                </w:p>
              </w:tc>
              <w:tc>
                <w:tcPr>
                  <w:tcW w:w="554"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rFonts w:hint="eastAsia" w:ascii="宋体" w:hAnsi="宋体"/>
                      <w:sz w:val="18"/>
                      <w:szCs w:val="18"/>
                    </w:rPr>
                    <w:t>偶</w:t>
                  </w:r>
                  <w:r>
                    <w:rPr>
                      <w:rFonts w:ascii="宋体" w:hAnsi="宋体"/>
                      <w:sz w:val="18"/>
                      <w:szCs w:val="18"/>
                    </w:rPr>
                    <w:t>发</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ascii="宋体" w:hAnsi="宋体"/>
                      <w:sz w:val="18"/>
                      <w:szCs w:val="18"/>
                    </w:rPr>
                    <w:t>类比法</w:t>
                  </w:r>
                </w:p>
              </w:tc>
              <w:tc>
                <w:tcPr>
                  <w:tcW w:w="624"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rFonts w:hint="eastAsia"/>
                      <w:kern w:val="0"/>
                      <w:sz w:val="18"/>
                      <w:szCs w:val="18"/>
                    </w:rPr>
                    <w:t>85</w:t>
                  </w:r>
                </w:p>
              </w:tc>
              <w:tc>
                <w:tcPr>
                  <w:tcW w:w="908" w:type="dxa"/>
                  <w:vMerge w:val="continue"/>
                  <w:tcBorders>
                    <w:top w:val="nil"/>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79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sz w:val="18"/>
                      <w:szCs w:val="18"/>
                    </w:rPr>
                    <w:t>20</w:t>
                  </w:r>
                </w:p>
              </w:tc>
              <w:tc>
                <w:tcPr>
                  <w:tcW w:w="866"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ascii="宋体" w:hAnsi="宋体"/>
                      <w:sz w:val="18"/>
                      <w:szCs w:val="18"/>
                    </w:rPr>
                    <w:t>类比法</w:t>
                  </w:r>
                </w:p>
              </w:tc>
              <w:tc>
                <w:tcPr>
                  <w:tcW w:w="829" w:type="dxa"/>
                  <w:tcBorders>
                    <w:top w:val="single" w:color="auto" w:sz="4" w:space="0"/>
                    <w:left w:val="single" w:color="auto" w:sz="4" w:space="0"/>
                    <w:bottom w:val="single" w:color="auto" w:sz="4" w:space="0"/>
                    <w:right w:val="single" w:color="auto" w:sz="4" w:space="0"/>
                  </w:tcBorders>
                  <w:vAlign w:val="center"/>
                </w:tcPr>
                <w:p>
                  <w:pPr>
                    <w:widowControl/>
                    <w:autoSpaceDE w:val="0"/>
                    <w:adjustRightInd w:val="0"/>
                    <w:spacing w:line="300" w:lineRule="exact"/>
                    <w:ind w:left="-10" w:leftChars="-5" w:right="-10" w:rightChars="-5"/>
                    <w:jc w:val="center"/>
                    <w:rPr>
                      <w:kern w:val="0"/>
                      <w:sz w:val="18"/>
                      <w:szCs w:val="18"/>
                    </w:rPr>
                  </w:pPr>
                  <w:r>
                    <w:rPr>
                      <w:rFonts w:hint="eastAsia"/>
                      <w:kern w:val="0"/>
                      <w:sz w:val="18"/>
                      <w:szCs w:val="18"/>
                    </w:rPr>
                    <w:t>65</w:t>
                  </w:r>
                </w:p>
              </w:tc>
              <w:tc>
                <w:tcPr>
                  <w:tcW w:w="774"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300" w:lineRule="exact"/>
                    <w:ind w:left="-10" w:leftChars="-5" w:right="-10" w:rightChars="-5"/>
                    <w:jc w:val="center"/>
                    <w:rPr>
                      <w:sz w:val="18"/>
                      <w:szCs w:val="18"/>
                    </w:rPr>
                  </w:pPr>
                  <w:r>
                    <w:rPr>
                      <w:rFonts w:hint="eastAsia"/>
                      <w:sz w:val="18"/>
                      <w:szCs w:val="18"/>
                    </w:rPr>
                    <w:t>8</w:t>
                  </w:r>
                  <w:r>
                    <w:rPr>
                      <w:sz w:val="18"/>
                      <w:szCs w:val="18"/>
                    </w:rPr>
                    <w:t>00</w:t>
                  </w:r>
                </w:p>
              </w:tc>
            </w:tr>
          </w:tbl>
          <w:p>
            <w:pPr>
              <w:autoSpaceDE w:val="0"/>
              <w:autoSpaceDN w:val="0"/>
              <w:adjustRightInd w:val="0"/>
              <w:snapToGrid w:val="0"/>
              <w:spacing w:line="400" w:lineRule="exact"/>
              <w:ind w:firstLine="422" w:firstLineChars="200"/>
              <w:jc w:val="left"/>
              <w:rPr>
                <w:b/>
                <w:bCs/>
                <w:kern w:val="0"/>
                <w:szCs w:val="21"/>
              </w:rPr>
            </w:pPr>
            <w:r>
              <w:rPr>
                <w:rFonts w:ascii="宋体" w:hAnsi="宋体"/>
                <w:b/>
                <w:bCs/>
                <w:kern w:val="0"/>
              </w:rPr>
              <w:t>（</w:t>
            </w:r>
            <w:r>
              <w:rPr>
                <w:b/>
                <w:bCs/>
                <w:kern w:val="0"/>
              </w:rPr>
              <w:t>2</w:t>
            </w:r>
            <w:r>
              <w:rPr>
                <w:rFonts w:ascii="宋体" w:hAnsi="宋体"/>
                <w:b/>
                <w:bCs/>
                <w:kern w:val="0"/>
              </w:rPr>
              <w:t>）</w:t>
            </w:r>
            <w:r>
              <w:rPr>
                <w:rFonts w:hint="eastAsia" w:ascii="宋体" w:hAnsi="宋体"/>
                <w:b/>
                <w:bCs/>
                <w:kern w:val="0"/>
              </w:rPr>
              <w:t>噪声治理措施</w:t>
            </w:r>
          </w:p>
          <w:p>
            <w:pPr>
              <w:autoSpaceDE w:val="0"/>
              <w:autoSpaceDN w:val="0"/>
              <w:adjustRightInd w:val="0"/>
              <w:snapToGrid w:val="0"/>
              <w:spacing w:line="400" w:lineRule="exact"/>
              <w:ind w:firstLine="420" w:firstLineChars="200"/>
              <w:jc w:val="left"/>
              <w:rPr>
                <w:kern w:val="0"/>
              </w:rPr>
            </w:pPr>
            <w:r>
              <w:rPr>
                <w:rFonts w:hint="eastAsia" w:ascii="宋体" w:hAnsi="宋体" w:cs="宋体"/>
                <w:kern w:val="0"/>
              </w:rPr>
              <w:t>①</w:t>
            </w:r>
            <w:r>
              <w:rPr>
                <w:rFonts w:ascii="宋体" w:hAnsi="宋体"/>
                <w:kern w:val="0"/>
              </w:rPr>
              <w:t>优选设备。尽量选择低噪声且符合国家噪声标准的设备。</w:t>
            </w:r>
          </w:p>
          <w:p>
            <w:pPr>
              <w:autoSpaceDE w:val="0"/>
              <w:autoSpaceDN w:val="0"/>
              <w:adjustRightInd w:val="0"/>
              <w:snapToGrid w:val="0"/>
              <w:spacing w:line="400" w:lineRule="exact"/>
              <w:ind w:firstLine="420" w:firstLineChars="200"/>
              <w:jc w:val="left"/>
              <w:rPr>
                <w:kern w:val="0"/>
              </w:rPr>
            </w:pPr>
            <w:r>
              <w:rPr>
                <w:rFonts w:hint="eastAsia" w:ascii="宋体" w:hAnsi="宋体" w:cs="宋体"/>
                <w:kern w:val="0"/>
              </w:rPr>
              <w:t>②</w:t>
            </w:r>
            <w:r>
              <w:rPr>
                <w:rFonts w:ascii="宋体" w:hAnsi="宋体"/>
                <w:kern w:val="0"/>
              </w:rPr>
              <w:t>减振消声。产噪设备设安装减振垫；</w:t>
            </w:r>
            <w:r>
              <w:rPr>
                <w:rFonts w:hint="eastAsia" w:ascii="宋体" w:hAnsi="宋体"/>
                <w:kern w:val="0"/>
              </w:rPr>
              <w:t>风机</w:t>
            </w:r>
            <w:r>
              <w:rPr>
                <w:rFonts w:ascii="宋体" w:hAnsi="宋体"/>
                <w:kern w:val="0"/>
              </w:rPr>
              <w:t>安装消声器、柔性接口等；设备加强维护保养，定期检查、维修，及时更换老化和性能降低的</w:t>
            </w:r>
            <w:r>
              <w:rPr>
                <w:rFonts w:hint="eastAsia" w:ascii="宋体" w:hAnsi="宋体"/>
                <w:kern w:val="0"/>
              </w:rPr>
              <w:t>配件</w:t>
            </w:r>
            <w:r>
              <w:rPr>
                <w:rFonts w:ascii="宋体" w:hAnsi="宋体"/>
                <w:kern w:val="0"/>
              </w:rPr>
              <w:t>。锅炉鼓风机、引风机采用隔声罩进行降噪治理，鼓风机配置消声器，以降低空气动力噪声对周围环境的影响</w:t>
            </w:r>
          </w:p>
          <w:p>
            <w:pPr>
              <w:autoSpaceDE w:val="0"/>
              <w:autoSpaceDN w:val="0"/>
              <w:adjustRightInd w:val="0"/>
              <w:snapToGrid w:val="0"/>
              <w:spacing w:line="400" w:lineRule="exact"/>
              <w:ind w:firstLine="420" w:firstLineChars="200"/>
              <w:jc w:val="left"/>
              <w:rPr>
                <w:kern w:val="0"/>
              </w:rPr>
            </w:pPr>
            <w:r>
              <w:rPr>
                <w:rFonts w:hint="eastAsia" w:ascii="宋体" w:hAnsi="宋体" w:cs="宋体"/>
                <w:kern w:val="0"/>
              </w:rPr>
              <w:t>③</w:t>
            </w:r>
            <w:r>
              <w:rPr>
                <w:rFonts w:ascii="宋体" w:hAnsi="宋体"/>
                <w:kern w:val="0"/>
              </w:rPr>
              <w:t>优化布局。</w:t>
            </w:r>
            <w:r>
              <w:rPr>
                <w:rFonts w:hint="eastAsia" w:ascii="宋体" w:hAnsi="宋体"/>
                <w:kern w:val="0"/>
              </w:rPr>
              <w:t>锅炉房</w:t>
            </w:r>
            <w:r>
              <w:rPr>
                <w:rFonts w:ascii="宋体" w:hAnsi="宋体"/>
                <w:kern w:val="0"/>
              </w:rPr>
              <w:t>间封闭，利用建筑隔声；设备尽量远离厂界且布置再车间内，利用建筑隔声。</w:t>
            </w:r>
          </w:p>
          <w:p>
            <w:pPr>
              <w:autoSpaceDE w:val="0"/>
              <w:autoSpaceDN w:val="0"/>
              <w:adjustRightInd w:val="0"/>
              <w:snapToGrid w:val="0"/>
              <w:spacing w:line="400" w:lineRule="exact"/>
              <w:ind w:firstLine="420" w:firstLineChars="200"/>
              <w:jc w:val="left"/>
              <w:rPr>
                <w:kern w:val="0"/>
              </w:rPr>
            </w:pPr>
            <w:r>
              <w:rPr>
                <w:rFonts w:hint="eastAsia" w:ascii="宋体" w:hAnsi="宋体" w:cs="宋体"/>
                <w:kern w:val="0"/>
              </w:rPr>
              <w:t>④</w:t>
            </w:r>
            <w:r>
              <w:rPr>
                <w:rFonts w:ascii="宋体" w:hAnsi="宋体"/>
                <w:kern w:val="0"/>
              </w:rPr>
              <w:t>建筑隔声措施。所有生产设备均安装在密闭的生产车间内，锅炉用房为砖混结构，通过构筑物及建筑材料隔声，可有效降低噪声对外传播产生影响。</w:t>
            </w:r>
          </w:p>
          <w:p>
            <w:pPr>
              <w:autoSpaceDE w:val="0"/>
              <w:autoSpaceDN w:val="0"/>
              <w:adjustRightInd w:val="0"/>
              <w:snapToGrid w:val="0"/>
              <w:spacing w:line="400" w:lineRule="exact"/>
              <w:ind w:firstLine="420" w:firstLineChars="200"/>
              <w:jc w:val="left"/>
              <w:rPr>
                <w:kern w:val="0"/>
              </w:rPr>
            </w:pPr>
            <w:r>
              <w:rPr>
                <w:rFonts w:hint="eastAsia" w:ascii="宋体" w:hAnsi="宋体"/>
                <w:kern w:val="0"/>
              </w:rPr>
              <w:t>⑤</w:t>
            </w:r>
            <w:r>
              <w:rPr>
                <w:rFonts w:ascii="宋体" w:hAnsi="宋体"/>
                <w:kern w:val="0"/>
              </w:rPr>
              <w:t>加强燃气锅炉设备运行维护管理，规范操作，避免人为因素造成噪声增大。</w:t>
            </w:r>
          </w:p>
          <w:p>
            <w:pPr>
              <w:autoSpaceDE w:val="0"/>
              <w:autoSpaceDN w:val="0"/>
              <w:adjustRightInd w:val="0"/>
              <w:snapToGrid w:val="0"/>
              <w:spacing w:line="400" w:lineRule="exact"/>
              <w:ind w:firstLine="422" w:firstLineChars="200"/>
              <w:jc w:val="left"/>
              <w:rPr>
                <w:b/>
                <w:bCs/>
                <w:kern w:val="0"/>
              </w:rPr>
            </w:pPr>
            <w:r>
              <w:rPr>
                <w:rFonts w:hint="eastAsia" w:ascii="宋体" w:hAnsi="宋体"/>
                <w:b/>
                <w:bCs/>
                <w:kern w:val="0"/>
              </w:rPr>
              <w:t>（</w:t>
            </w:r>
            <w:r>
              <w:rPr>
                <w:rFonts w:hint="eastAsia"/>
                <w:b/>
                <w:bCs/>
                <w:kern w:val="0"/>
              </w:rPr>
              <w:t>3</w:t>
            </w:r>
            <w:r>
              <w:rPr>
                <w:rFonts w:hint="eastAsia" w:ascii="宋体" w:hAnsi="宋体"/>
                <w:b/>
                <w:bCs/>
                <w:kern w:val="0"/>
              </w:rPr>
              <w:t>）</w:t>
            </w:r>
            <w:r>
              <w:rPr>
                <w:rFonts w:ascii="宋体" w:hAnsi="宋体"/>
                <w:b/>
                <w:bCs/>
                <w:kern w:val="0"/>
              </w:rPr>
              <w:t>环境影响及达标分析</w:t>
            </w:r>
          </w:p>
          <w:p>
            <w:pPr>
              <w:autoSpaceDE w:val="0"/>
              <w:autoSpaceDN w:val="0"/>
              <w:adjustRightInd w:val="0"/>
              <w:snapToGrid w:val="0"/>
              <w:spacing w:line="400" w:lineRule="exact"/>
              <w:ind w:firstLine="420" w:firstLineChars="200"/>
              <w:jc w:val="left"/>
              <w:rPr>
                <w:kern w:val="0"/>
              </w:rPr>
            </w:pPr>
            <w:r>
              <w:rPr>
                <w:rFonts w:ascii="宋体" w:hAnsi="宋体"/>
                <w:kern w:val="0"/>
              </w:rPr>
              <w:t>本次预测以建成后生产作业仅在昼间，夜间不进行生产。仅预测昼间</w:t>
            </w:r>
            <w:r>
              <w:rPr>
                <w:rFonts w:hint="eastAsia" w:ascii="宋体" w:hAnsi="宋体"/>
                <w:kern w:val="0"/>
              </w:rPr>
              <w:t>锅炉运行</w:t>
            </w:r>
            <w:r>
              <w:rPr>
                <w:rFonts w:ascii="宋体" w:hAnsi="宋体"/>
                <w:kern w:val="0"/>
              </w:rPr>
              <w:t>对厂界的贡献值。由于项目</w:t>
            </w:r>
            <w:r>
              <w:rPr>
                <w:rFonts w:hint="eastAsia" w:ascii="宋体" w:hAnsi="宋体"/>
                <w:kern w:val="0"/>
              </w:rPr>
              <w:t>锅炉及配套设施均</w:t>
            </w:r>
            <w:r>
              <w:rPr>
                <w:rFonts w:ascii="宋体" w:hAnsi="宋体"/>
                <w:kern w:val="0"/>
              </w:rPr>
              <w:t>在</w:t>
            </w:r>
            <w:r>
              <w:rPr>
                <w:kern w:val="0"/>
              </w:rPr>
              <w:t>1</w:t>
            </w:r>
            <w:r>
              <w:rPr>
                <w:rFonts w:ascii="宋体" w:hAnsi="宋体"/>
                <w:kern w:val="0"/>
              </w:rPr>
              <w:t>个</w:t>
            </w:r>
            <w:r>
              <w:rPr>
                <w:rFonts w:hint="eastAsia" w:ascii="宋体" w:hAnsi="宋体"/>
                <w:kern w:val="0"/>
              </w:rPr>
              <w:t>房</w:t>
            </w:r>
            <w:r>
              <w:rPr>
                <w:rFonts w:ascii="宋体" w:hAnsi="宋体"/>
                <w:kern w:val="0"/>
              </w:rPr>
              <w:t>间，因此将整个</w:t>
            </w:r>
            <w:r>
              <w:rPr>
                <w:rFonts w:hint="eastAsia" w:ascii="宋体" w:hAnsi="宋体"/>
                <w:kern w:val="0"/>
              </w:rPr>
              <w:t>房</w:t>
            </w:r>
            <w:r>
              <w:rPr>
                <w:rFonts w:ascii="宋体" w:hAnsi="宋体"/>
                <w:kern w:val="0"/>
              </w:rPr>
              <w:t>间作为一个点声源进行预测</w:t>
            </w:r>
            <w:r>
              <w:rPr>
                <w:rFonts w:hint="eastAsia" w:ascii="宋体" w:hAnsi="宋体"/>
                <w:kern w:val="0"/>
              </w:rPr>
              <w:t>。</w:t>
            </w:r>
            <w:r>
              <w:rPr>
                <w:rFonts w:ascii="宋体" w:hAnsi="宋体"/>
                <w:kern w:val="0"/>
              </w:rPr>
              <w:t>经过叠加主要生产设备，计算出整个</w:t>
            </w:r>
            <w:r>
              <w:rPr>
                <w:rFonts w:hint="eastAsia" w:ascii="宋体" w:hAnsi="宋体"/>
                <w:kern w:val="0"/>
              </w:rPr>
              <w:t>锅炉房</w:t>
            </w:r>
            <w:r>
              <w:rPr>
                <w:rFonts w:ascii="宋体" w:hAnsi="宋体"/>
                <w:kern w:val="0"/>
              </w:rPr>
              <w:t>源强约</w:t>
            </w:r>
            <w:r>
              <w:rPr>
                <w:kern w:val="0"/>
              </w:rPr>
              <w:t>9</w:t>
            </w:r>
            <w:r>
              <w:rPr>
                <w:rFonts w:hint="eastAsia"/>
                <w:kern w:val="0"/>
              </w:rPr>
              <w:t>1.5</w:t>
            </w:r>
            <w:r>
              <w:rPr>
                <w:kern w:val="0"/>
              </w:rPr>
              <w:t>dB(A)</w:t>
            </w:r>
            <w:r>
              <w:rPr>
                <w:rFonts w:ascii="宋体" w:hAnsi="宋体"/>
                <w:kern w:val="0"/>
              </w:rPr>
              <w:t>。</w:t>
            </w:r>
          </w:p>
          <w:p>
            <w:pPr>
              <w:autoSpaceDE w:val="0"/>
              <w:autoSpaceDN w:val="0"/>
              <w:adjustRightInd w:val="0"/>
              <w:snapToGrid w:val="0"/>
              <w:spacing w:line="400" w:lineRule="exact"/>
              <w:ind w:firstLine="420" w:firstLineChars="200"/>
              <w:jc w:val="left"/>
              <w:rPr>
                <w:kern w:val="0"/>
                <w:sz w:val="24"/>
              </w:rPr>
            </w:pPr>
            <w:r>
              <w:rPr>
                <w:rFonts w:ascii="宋体" w:hAnsi="宋体"/>
                <w:kern w:val="0"/>
              </w:rPr>
              <w:t>项目的噪声预测结果见下表。</w:t>
            </w:r>
            <w:r>
              <w:rPr>
                <w:kern w:val="0"/>
              </w:rPr>
              <w:t xml:space="preserve"> </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w:t>
            </w:r>
            <w:r>
              <w:rPr>
                <w:rFonts w:hint="eastAsia" w:eastAsia="黑体"/>
                <w:kern w:val="0"/>
                <w:sz w:val="20"/>
                <w:szCs w:val="20"/>
              </w:rPr>
              <w:t>9</w:t>
            </w:r>
            <w:r>
              <w:rPr>
                <w:rFonts w:eastAsia="黑体"/>
                <w:kern w:val="0"/>
                <w:sz w:val="20"/>
                <w:szCs w:val="20"/>
              </w:rPr>
              <w:t xml:space="preserve"> </w:t>
            </w:r>
            <w:r>
              <w:rPr>
                <w:rFonts w:hint="eastAsia" w:eastAsia="黑体"/>
                <w:kern w:val="0"/>
                <w:sz w:val="20"/>
                <w:szCs w:val="20"/>
              </w:rPr>
              <w:t xml:space="preserve"> </w:t>
            </w:r>
            <w:r>
              <w:rPr>
                <w:rFonts w:eastAsia="黑体"/>
                <w:kern w:val="0"/>
                <w:sz w:val="20"/>
                <w:szCs w:val="20"/>
              </w:rPr>
              <w:t xml:space="preserve"> </w:t>
            </w:r>
            <w:r>
              <w:rPr>
                <w:rFonts w:ascii="黑体" w:hAnsi="黑体" w:eastAsia="黑体"/>
                <w:kern w:val="0"/>
                <w:sz w:val="20"/>
                <w:szCs w:val="20"/>
              </w:rPr>
              <w:t>厂界噪声预测结果</w:t>
            </w:r>
            <w:r>
              <w:rPr>
                <w:rFonts w:eastAsia="黑体"/>
                <w:kern w:val="0"/>
                <w:sz w:val="20"/>
                <w:szCs w:val="20"/>
              </w:rPr>
              <w:t xml:space="preserve">    </w:t>
            </w:r>
            <w:r>
              <w:rPr>
                <w:rFonts w:ascii="黑体" w:hAnsi="黑体" w:eastAsia="黑体"/>
                <w:kern w:val="0"/>
                <w:sz w:val="20"/>
                <w:szCs w:val="20"/>
              </w:rPr>
              <w:t>单位：</w:t>
            </w:r>
            <w:r>
              <w:rPr>
                <w:rFonts w:eastAsia="黑体"/>
                <w:kern w:val="0"/>
                <w:sz w:val="20"/>
                <w:szCs w:val="20"/>
              </w:rPr>
              <w:t>dB(A)</w:t>
            </w:r>
          </w:p>
          <w:tbl>
            <w:tblPr>
              <w:tblStyle w:val="21"/>
              <w:tblW w:w="7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334"/>
              <w:gridCol w:w="683"/>
              <w:gridCol w:w="1136"/>
              <w:gridCol w:w="674"/>
              <w:gridCol w:w="792"/>
              <w:gridCol w:w="856"/>
              <w:gridCol w:w="728"/>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4" w:type="dxa"/>
                  <w:vMerge w:val="restart"/>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项目</w:t>
                  </w:r>
                </w:p>
              </w:tc>
              <w:tc>
                <w:tcPr>
                  <w:tcW w:w="1334" w:type="dxa"/>
                  <w:vMerge w:val="restart"/>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噪声源与敏感目标的距离</w:t>
                  </w:r>
                  <w:r>
                    <w:rPr>
                      <w:rFonts w:hint="eastAsia" w:ascii="宋体" w:hAnsi="宋体"/>
                      <w:b/>
                      <w:bCs/>
                      <w:kern w:val="0"/>
                      <w:sz w:val="18"/>
                      <w:szCs w:val="18"/>
                      <w:vertAlign w:val="superscript"/>
                    </w:rPr>
                    <w:t>（</w:t>
                  </w:r>
                  <w:r>
                    <w:rPr>
                      <w:rFonts w:hint="eastAsia"/>
                      <w:b/>
                      <w:bCs/>
                      <w:kern w:val="0"/>
                      <w:sz w:val="18"/>
                      <w:szCs w:val="18"/>
                      <w:vertAlign w:val="superscript"/>
                    </w:rPr>
                    <w:t>1</w:t>
                  </w:r>
                  <w:r>
                    <w:rPr>
                      <w:rFonts w:hint="eastAsia" w:ascii="宋体" w:hAnsi="宋体"/>
                      <w:b/>
                      <w:bCs/>
                      <w:kern w:val="0"/>
                      <w:sz w:val="18"/>
                      <w:szCs w:val="18"/>
                      <w:vertAlign w:val="superscript"/>
                    </w:rPr>
                    <w:t>）</w:t>
                  </w:r>
                </w:p>
              </w:tc>
              <w:tc>
                <w:tcPr>
                  <w:tcW w:w="683" w:type="dxa"/>
                  <w:vMerge w:val="restart"/>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源强</w:t>
                  </w:r>
                </w:p>
              </w:tc>
              <w:tc>
                <w:tcPr>
                  <w:tcW w:w="1136" w:type="dxa"/>
                  <w:vMerge w:val="restart"/>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sz w:val="18"/>
                      <w:szCs w:val="18"/>
                    </w:rPr>
                  </w:pPr>
                  <w:r>
                    <w:rPr>
                      <w:rFonts w:ascii="宋体" w:hAnsi="宋体"/>
                      <w:b/>
                      <w:bCs/>
                      <w:kern w:val="0"/>
                      <w:sz w:val="18"/>
                      <w:szCs w:val="18"/>
                    </w:rPr>
                    <w:t>围挡及环境阻挡降噪</w:t>
                  </w:r>
                </w:p>
              </w:tc>
              <w:tc>
                <w:tcPr>
                  <w:tcW w:w="674" w:type="dxa"/>
                  <w:vMerge w:val="restart"/>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贡献值</w:t>
                  </w:r>
                </w:p>
              </w:tc>
              <w:tc>
                <w:tcPr>
                  <w:tcW w:w="792"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背景值</w:t>
                  </w:r>
                </w:p>
              </w:tc>
              <w:tc>
                <w:tcPr>
                  <w:tcW w:w="85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叠加值</w:t>
                  </w:r>
                  <w:r>
                    <w:rPr>
                      <w:rFonts w:hint="eastAsia" w:ascii="宋体" w:hAnsi="宋体"/>
                      <w:b/>
                      <w:bCs/>
                      <w:kern w:val="0"/>
                      <w:sz w:val="18"/>
                      <w:szCs w:val="18"/>
                      <w:vertAlign w:val="superscript"/>
                    </w:rPr>
                    <w:t>（</w:t>
                  </w:r>
                  <w:r>
                    <w:rPr>
                      <w:rFonts w:hint="eastAsia"/>
                      <w:b/>
                      <w:bCs/>
                      <w:kern w:val="0"/>
                      <w:sz w:val="18"/>
                      <w:szCs w:val="18"/>
                      <w:vertAlign w:val="superscript"/>
                    </w:rPr>
                    <w:t>2</w:t>
                  </w:r>
                  <w:r>
                    <w:rPr>
                      <w:rFonts w:hint="eastAsia" w:ascii="宋体" w:hAnsi="宋体"/>
                      <w:b/>
                      <w:bCs/>
                      <w:kern w:val="0"/>
                      <w:sz w:val="18"/>
                      <w:szCs w:val="18"/>
                      <w:vertAlign w:val="superscript"/>
                    </w:rPr>
                    <w:t>）</w:t>
                  </w:r>
                </w:p>
              </w:tc>
              <w:tc>
                <w:tcPr>
                  <w:tcW w:w="72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执行</w:t>
                  </w:r>
                </w:p>
                <w:p>
                  <w:pPr>
                    <w:autoSpaceDE w:val="0"/>
                    <w:spacing w:line="260" w:lineRule="exact"/>
                    <w:ind w:left="-53" w:leftChars="-25" w:right="-53" w:rightChars="-25"/>
                    <w:jc w:val="center"/>
                    <w:rPr>
                      <w:b/>
                      <w:bCs/>
                      <w:kern w:val="0"/>
                      <w:sz w:val="18"/>
                      <w:szCs w:val="18"/>
                    </w:rPr>
                  </w:pPr>
                  <w:r>
                    <w:rPr>
                      <w:rFonts w:ascii="宋体" w:hAnsi="宋体"/>
                      <w:b/>
                      <w:bCs/>
                      <w:kern w:val="0"/>
                      <w:sz w:val="18"/>
                      <w:szCs w:val="18"/>
                    </w:rPr>
                    <w:t>标准</w:t>
                  </w:r>
                </w:p>
              </w:tc>
              <w:tc>
                <w:tcPr>
                  <w:tcW w:w="65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达标</w:t>
                  </w:r>
                </w:p>
                <w:p>
                  <w:pPr>
                    <w:autoSpaceDE w:val="0"/>
                    <w:spacing w:line="260" w:lineRule="exact"/>
                    <w:ind w:left="-53" w:leftChars="-25" w:right="-53" w:rightChars="-25"/>
                    <w:jc w:val="center"/>
                    <w:rPr>
                      <w:b/>
                      <w:bCs/>
                      <w:kern w:val="0"/>
                      <w:sz w:val="18"/>
                      <w:szCs w:val="18"/>
                    </w:rPr>
                  </w:pPr>
                  <w:r>
                    <w:rPr>
                      <w:rFonts w:ascii="宋体" w:hAnsi="宋体"/>
                      <w:b/>
                      <w:bCs/>
                      <w:kern w:val="0"/>
                      <w:sz w:val="18"/>
                      <w:szCs w:val="1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kern w:val="0"/>
                      <w:sz w:val="18"/>
                      <w:szCs w:val="18"/>
                    </w:rPr>
                  </w:pPr>
                </w:p>
              </w:tc>
              <w:tc>
                <w:tcPr>
                  <w:tcW w:w="1334" w:type="dxa"/>
                  <w:vMerge w:val="continue"/>
                  <w:tcBorders>
                    <w:top w:val="single" w:color="auto" w:sz="4" w:space="0"/>
                    <w:left w:val="nil"/>
                    <w:bottom w:val="single" w:color="auto" w:sz="4" w:space="0"/>
                    <w:right w:val="single" w:color="auto" w:sz="4" w:space="0"/>
                  </w:tcBorders>
                  <w:vAlign w:val="center"/>
                </w:tcPr>
                <w:p>
                  <w:pPr>
                    <w:widowControl/>
                    <w:jc w:val="left"/>
                    <w:rPr>
                      <w:b/>
                      <w:bCs/>
                      <w:kern w:val="0"/>
                      <w:sz w:val="18"/>
                      <w:szCs w:val="18"/>
                    </w:rPr>
                  </w:pPr>
                </w:p>
              </w:tc>
              <w:tc>
                <w:tcPr>
                  <w:tcW w:w="683" w:type="dxa"/>
                  <w:vMerge w:val="continue"/>
                  <w:tcBorders>
                    <w:top w:val="single" w:color="auto" w:sz="4" w:space="0"/>
                    <w:left w:val="nil"/>
                    <w:bottom w:val="single" w:color="auto" w:sz="4" w:space="0"/>
                    <w:right w:val="single" w:color="auto" w:sz="4" w:space="0"/>
                  </w:tcBorders>
                  <w:vAlign w:val="center"/>
                </w:tcPr>
                <w:p>
                  <w:pPr>
                    <w:widowControl/>
                    <w:jc w:val="left"/>
                    <w:rPr>
                      <w:b/>
                      <w:bCs/>
                      <w:kern w:val="0"/>
                      <w:sz w:val="18"/>
                      <w:szCs w:val="18"/>
                    </w:rPr>
                  </w:pPr>
                </w:p>
              </w:tc>
              <w:tc>
                <w:tcPr>
                  <w:tcW w:w="1136" w:type="dxa"/>
                  <w:vMerge w:val="continue"/>
                  <w:tcBorders>
                    <w:top w:val="single" w:color="auto" w:sz="4" w:space="0"/>
                    <w:left w:val="nil"/>
                    <w:bottom w:val="single" w:color="auto" w:sz="4" w:space="0"/>
                    <w:right w:val="single" w:color="auto" w:sz="4" w:space="0"/>
                  </w:tcBorders>
                  <w:vAlign w:val="center"/>
                </w:tcPr>
                <w:p>
                  <w:pPr>
                    <w:widowControl/>
                    <w:jc w:val="left"/>
                    <w:rPr>
                      <w:b/>
                      <w:bCs/>
                      <w:sz w:val="18"/>
                      <w:szCs w:val="18"/>
                    </w:rPr>
                  </w:pPr>
                </w:p>
              </w:tc>
              <w:tc>
                <w:tcPr>
                  <w:tcW w:w="674" w:type="dxa"/>
                  <w:vMerge w:val="continue"/>
                  <w:tcBorders>
                    <w:top w:val="single" w:color="auto" w:sz="4" w:space="0"/>
                    <w:left w:val="nil"/>
                    <w:bottom w:val="single" w:color="auto" w:sz="4" w:space="0"/>
                    <w:right w:val="single" w:color="auto" w:sz="4" w:space="0"/>
                  </w:tcBorders>
                  <w:vAlign w:val="center"/>
                </w:tcPr>
                <w:p>
                  <w:pPr>
                    <w:widowControl/>
                    <w:jc w:val="left"/>
                    <w:rPr>
                      <w:b/>
                      <w:bCs/>
                      <w:kern w:val="0"/>
                      <w:sz w:val="18"/>
                      <w:szCs w:val="18"/>
                    </w:rPr>
                  </w:pPr>
                </w:p>
              </w:tc>
              <w:tc>
                <w:tcPr>
                  <w:tcW w:w="792"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昼间</w:t>
                  </w:r>
                </w:p>
              </w:tc>
              <w:tc>
                <w:tcPr>
                  <w:tcW w:w="85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昼间</w:t>
                  </w:r>
                </w:p>
              </w:tc>
              <w:tc>
                <w:tcPr>
                  <w:tcW w:w="72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昼间</w:t>
                  </w:r>
                </w:p>
              </w:tc>
              <w:tc>
                <w:tcPr>
                  <w:tcW w:w="65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b/>
                      <w:bCs/>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ascii="宋体" w:hAnsi="宋体"/>
                      <w:sz w:val="18"/>
                      <w:szCs w:val="18"/>
                    </w:rPr>
                    <w:t>东厂界</w:t>
                  </w:r>
                </w:p>
              </w:tc>
              <w:tc>
                <w:tcPr>
                  <w:tcW w:w="1334"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7</w:t>
                  </w:r>
                  <w:r>
                    <w:rPr>
                      <w:kern w:val="0"/>
                      <w:sz w:val="18"/>
                      <w:szCs w:val="18"/>
                    </w:rPr>
                    <w:t>m</w:t>
                  </w:r>
                </w:p>
              </w:tc>
              <w:tc>
                <w:tcPr>
                  <w:tcW w:w="683" w:type="dxa"/>
                  <w:vMerge w:val="restart"/>
                  <w:tcBorders>
                    <w:top w:val="nil"/>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9</w:t>
                  </w:r>
                  <w:r>
                    <w:rPr>
                      <w:rFonts w:hint="eastAsia"/>
                      <w:kern w:val="0"/>
                      <w:sz w:val="18"/>
                      <w:szCs w:val="18"/>
                    </w:rPr>
                    <w:t>1.5</w:t>
                  </w:r>
                </w:p>
              </w:tc>
              <w:tc>
                <w:tcPr>
                  <w:tcW w:w="113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20</w:t>
                  </w:r>
                </w:p>
              </w:tc>
              <w:tc>
                <w:tcPr>
                  <w:tcW w:w="674" w:type="dxa"/>
                  <w:tcBorders>
                    <w:top w:val="single" w:color="auto" w:sz="4" w:space="0"/>
                    <w:left w:val="nil"/>
                    <w:bottom w:val="single" w:color="auto" w:sz="4" w:space="0"/>
                    <w:right w:val="single" w:color="auto" w:sz="4" w:space="0"/>
                  </w:tcBorders>
                  <w:vAlign w:val="bottom"/>
                </w:tcPr>
                <w:p>
                  <w:pPr>
                    <w:autoSpaceDE w:val="0"/>
                    <w:spacing w:line="260" w:lineRule="exact"/>
                    <w:ind w:left="-53" w:leftChars="-25" w:right="-53" w:rightChars="-25"/>
                    <w:jc w:val="center"/>
                    <w:rPr>
                      <w:kern w:val="0"/>
                      <w:sz w:val="18"/>
                      <w:szCs w:val="18"/>
                    </w:rPr>
                  </w:pPr>
                  <w:r>
                    <w:rPr>
                      <w:rFonts w:hint="eastAsia"/>
                      <w:kern w:val="0"/>
                      <w:sz w:val="18"/>
                      <w:szCs w:val="18"/>
                    </w:rPr>
                    <w:t>54.6</w:t>
                  </w:r>
                </w:p>
              </w:tc>
              <w:tc>
                <w:tcPr>
                  <w:tcW w:w="792"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58.0</w:t>
                  </w:r>
                </w:p>
              </w:tc>
              <w:tc>
                <w:tcPr>
                  <w:tcW w:w="85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59.6</w:t>
                  </w:r>
                </w:p>
              </w:tc>
              <w:tc>
                <w:tcPr>
                  <w:tcW w:w="72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60</w:t>
                  </w:r>
                </w:p>
              </w:tc>
              <w:tc>
                <w:tcPr>
                  <w:tcW w:w="65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ascii="宋体" w:hAnsi="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ascii="宋体" w:hAnsi="宋体"/>
                      <w:sz w:val="18"/>
                      <w:szCs w:val="18"/>
                    </w:rPr>
                    <w:t>南厂界</w:t>
                  </w:r>
                </w:p>
              </w:tc>
              <w:tc>
                <w:tcPr>
                  <w:tcW w:w="1334"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hint="eastAsia"/>
                      <w:sz w:val="18"/>
                      <w:szCs w:val="18"/>
                    </w:rPr>
                    <w:t>52</w:t>
                  </w:r>
                  <w:r>
                    <w:rPr>
                      <w:sz w:val="18"/>
                      <w:szCs w:val="18"/>
                    </w:rPr>
                    <w:t>m</w:t>
                  </w:r>
                </w:p>
              </w:tc>
              <w:tc>
                <w:tcPr>
                  <w:tcW w:w="683" w:type="dxa"/>
                  <w:vMerge w:val="continue"/>
                  <w:tcBorders>
                    <w:top w:val="nil"/>
                    <w:left w:val="nil"/>
                    <w:bottom w:val="single" w:color="auto" w:sz="4" w:space="0"/>
                    <w:right w:val="single" w:color="auto" w:sz="4" w:space="0"/>
                  </w:tcBorders>
                  <w:vAlign w:val="center"/>
                </w:tcPr>
                <w:p>
                  <w:pPr>
                    <w:widowControl/>
                    <w:jc w:val="left"/>
                    <w:rPr>
                      <w:kern w:val="0"/>
                      <w:sz w:val="18"/>
                      <w:szCs w:val="18"/>
                    </w:rPr>
                  </w:pPr>
                </w:p>
              </w:tc>
              <w:tc>
                <w:tcPr>
                  <w:tcW w:w="113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20</w:t>
                  </w:r>
                </w:p>
              </w:tc>
              <w:tc>
                <w:tcPr>
                  <w:tcW w:w="674" w:type="dxa"/>
                  <w:tcBorders>
                    <w:top w:val="single" w:color="auto" w:sz="4" w:space="0"/>
                    <w:left w:val="nil"/>
                    <w:bottom w:val="single" w:color="auto" w:sz="4" w:space="0"/>
                    <w:right w:val="single" w:color="auto" w:sz="4" w:space="0"/>
                  </w:tcBorders>
                  <w:vAlign w:val="bottom"/>
                </w:tcPr>
                <w:p>
                  <w:pPr>
                    <w:autoSpaceDE w:val="0"/>
                    <w:spacing w:line="260" w:lineRule="exact"/>
                    <w:ind w:left="-53" w:leftChars="-25" w:right="-53" w:rightChars="-25"/>
                    <w:jc w:val="center"/>
                    <w:rPr>
                      <w:kern w:val="0"/>
                      <w:sz w:val="18"/>
                      <w:szCs w:val="18"/>
                    </w:rPr>
                  </w:pPr>
                  <w:r>
                    <w:rPr>
                      <w:kern w:val="0"/>
                      <w:sz w:val="18"/>
                      <w:szCs w:val="18"/>
                    </w:rPr>
                    <w:t xml:space="preserve">37.2 </w:t>
                  </w:r>
                </w:p>
              </w:tc>
              <w:tc>
                <w:tcPr>
                  <w:tcW w:w="792"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56.6</w:t>
                  </w:r>
                </w:p>
              </w:tc>
              <w:tc>
                <w:tcPr>
                  <w:tcW w:w="85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56.6</w:t>
                  </w:r>
                </w:p>
              </w:tc>
              <w:tc>
                <w:tcPr>
                  <w:tcW w:w="72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60</w:t>
                  </w:r>
                </w:p>
              </w:tc>
              <w:tc>
                <w:tcPr>
                  <w:tcW w:w="65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Cs/>
                      <w:kern w:val="0"/>
                      <w:sz w:val="18"/>
                      <w:szCs w:val="18"/>
                    </w:rPr>
                  </w:pPr>
                  <w:r>
                    <w:rPr>
                      <w:rFonts w:ascii="宋体" w:hAnsi="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ascii="宋体" w:hAnsi="宋体"/>
                      <w:sz w:val="18"/>
                      <w:szCs w:val="18"/>
                    </w:rPr>
                    <w:t>西厂界</w:t>
                  </w:r>
                </w:p>
              </w:tc>
              <w:tc>
                <w:tcPr>
                  <w:tcW w:w="1334"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hint="eastAsia"/>
                      <w:sz w:val="18"/>
                      <w:szCs w:val="18"/>
                    </w:rPr>
                    <w:t>30</w:t>
                  </w:r>
                  <w:r>
                    <w:rPr>
                      <w:sz w:val="18"/>
                      <w:szCs w:val="18"/>
                    </w:rPr>
                    <w:t>m</w:t>
                  </w:r>
                </w:p>
              </w:tc>
              <w:tc>
                <w:tcPr>
                  <w:tcW w:w="683" w:type="dxa"/>
                  <w:vMerge w:val="continue"/>
                  <w:tcBorders>
                    <w:top w:val="nil"/>
                    <w:left w:val="nil"/>
                    <w:bottom w:val="single" w:color="auto" w:sz="4" w:space="0"/>
                    <w:right w:val="single" w:color="auto" w:sz="4" w:space="0"/>
                  </w:tcBorders>
                  <w:vAlign w:val="center"/>
                </w:tcPr>
                <w:p>
                  <w:pPr>
                    <w:widowControl/>
                    <w:jc w:val="left"/>
                    <w:rPr>
                      <w:kern w:val="0"/>
                      <w:sz w:val="18"/>
                      <w:szCs w:val="18"/>
                    </w:rPr>
                  </w:pPr>
                </w:p>
              </w:tc>
              <w:tc>
                <w:tcPr>
                  <w:tcW w:w="113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20</w:t>
                  </w:r>
                </w:p>
              </w:tc>
              <w:tc>
                <w:tcPr>
                  <w:tcW w:w="674" w:type="dxa"/>
                  <w:tcBorders>
                    <w:top w:val="single" w:color="auto" w:sz="4" w:space="0"/>
                    <w:left w:val="nil"/>
                    <w:bottom w:val="single" w:color="auto" w:sz="4" w:space="0"/>
                    <w:right w:val="single" w:color="auto" w:sz="4" w:space="0"/>
                  </w:tcBorders>
                  <w:vAlign w:val="bottom"/>
                </w:tcPr>
                <w:p>
                  <w:pPr>
                    <w:autoSpaceDE w:val="0"/>
                    <w:spacing w:line="260" w:lineRule="exact"/>
                    <w:ind w:left="-53" w:leftChars="-25" w:right="-53" w:rightChars="-25"/>
                    <w:jc w:val="center"/>
                    <w:rPr>
                      <w:kern w:val="0"/>
                      <w:sz w:val="18"/>
                      <w:szCs w:val="18"/>
                    </w:rPr>
                  </w:pPr>
                  <w:r>
                    <w:rPr>
                      <w:kern w:val="0"/>
                      <w:sz w:val="18"/>
                      <w:szCs w:val="18"/>
                    </w:rPr>
                    <w:t xml:space="preserve">42.0 </w:t>
                  </w:r>
                </w:p>
              </w:tc>
              <w:tc>
                <w:tcPr>
                  <w:tcW w:w="792"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56.9</w:t>
                  </w:r>
                </w:p>
              </w:tc>
              <w:tc>
                <w:tcPr>
                  <w:tcW w:w="85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57.0</w:t>
                  </w:r>
                </w:p>
              </w:tc>
              <w:tc>
                <w:tcPr>
                  <w:tcW w:w="728" w:type="dxa"/>
                  <w:tcBorders>
                    <w:top w:val="single" w:color="auto" w:sz="4" w:space="0"/>
                    <w:left w:val="nil"/>
                    <w:bottom w:val="single" w:color="auto" w:sz="4" w:space="0"/>
                    <w:right w:val="single" w:color="auto" w:sz="4" w:space="0"/>
                  </w:tcBorders>
                  <w:vAlign w:val="center"/>
                </w:tcPr>
                <w:p>
                  <w:pPr>
                    <w:widowControl/>
                    <w:autoSpaceDE w:val="0"/>
                    <w:spacing w:line="260" w:lineRule="exact"/>
                    <w:ind w:left="-53" w:leftChars="-25" w:right="-53" w:rightChars="-25"/>
                    <w:jc w:val="center"/>
                    <w:rPr>
                      <w:kern w:val="0"/>
                      <w:sz w:val="18"/>
                      <w:szCs w:val="18"/>
                    </w:rPr>
                  </w:pPr>
                  <w:r>
                    <w:rPr>
                      <w:kern w:val="0"/>
                      <w:sz w:val="18"/>
                      <w:szCs w:val="18"/>
                    </w:rPr>
                    <w:t>60</w:t>
                  </w:r>
                </w:p>
              </w:tc>
              <w:tc>
                <w:tcPr>
                  <w:tcW w:w="65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b/>
                      <w:bCs/>
                      <w:kern w:val="0"/>
                      <w:sz w:val="18"/>
                      <w:szCs w:val="18"/>
                    </w:rPr>
                  </w:pPr>
                  <w:r>
                    <w:rPr>
                      <w:rFonts w:ascii="宋体" w:hAnsi="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ascii="宋体" w:hAnsi="宋体"/>
                      <w:sz w:val="18"/>
                      <w:szCs w:val="18"/>
                    </w:rPr>
                    <w:t>北厂界</w:t>
                  </w:r>
                </w:p>
              </w:tc>
              <w:tc>
                <w:tcPr>
                  <w:tcW w:w="1334"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sz w:val="18"/>
                      <w:szCs w:val="18"/>
                    </w:rPr>
                  </w:pPr>
                  <w:r>
                    <w:rPr>
                      <w:rFonts w:hint="eastAsia"/>
                      <w:sz w:val="18"/>
                      <w:szCs w:val="18"/>
                    </w:rPr>
                    <w:t>9</w:t>
                  </w:r>
                  <w:r>
                    <w:rPr>
                      <w:sz w:val="18"/>
                      <w:szCs w:val="18"/>
                    </w:rPr>
                    <w:t>m</w:t>
                  </w:r>
                </w:p>
              </w:tc>
              <w:tc>
                <w:tcPr>
                  <w:tcW w:w="683" w:type="dxa"/>
                  <w:vMerge w:val="continue"/>
                  <w:tcBorders>
                    <w:top w:val="nil"/>
                    <w:left w:val="nil"/>
                    <w:bottom w:val="single" w:color="auto" w:sz="4" w:space="0"/>
                    <w:right w:val="single" w:color="auto" w:sz="4" w:space="0"/>
                  </w:tcBorders>
                  <w:vAlign w:val="center"/>
                </w:tcPr>
                <w:p>
                  <w:pPr>
                    <w:widowControl/>
                    <w:jc w:val="left"/>
                    <w:rPr>
                      <w:kern w:val="0"/>
                      <w:sz w:val="18"/>
                      <w:szCs w:val="18"/>
                    </w:rPr>
                  </w:pPr>
                </w:p>
              </w:tc>
              <w:tc>
                <w:tcPr>
                  <w:tcW w:w="113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kern w:val="0"/>
                      <w:sz w:val="18"/>
                      <w:szCs w:val="18"/>
                    </w:rPr>
                    <w:t>20</w:t>
                  </w:r>
                </w:p>
              </w:tc>
              <w:tc>
                <w:tcPr>
                  <w:tcW w:w="674" w:type="dxa"/>
                  <w:tcBorders>
                    <w:top w:val="single" w:color="auto" w:sz="4" w:space="0"/>
                    <w:left w:val="nil"/>
                    <w:bottom w:val="single" w:color="auto" w:sz="4" w:space="0"/>
                    <w:right w:val="single" w:color="auto" w:sz="4" w:space="0"/>
                  </w:tcBorders>
                  <w:vAlign w:val="bottom"/>
                </w:tcPr>
                <w:p>
                  <w:pPr>
                    <w:autoSpaceDE w:val="0"/>
                    <w:spacing w:line="260" w:lineRule="exact"/>
                    <w:ind w:left="-53" w:leftChars="-25" w:right="-53" w:rightChars="-25"/>
                    <w:jc w:val="center"/>
                    <w:rPr>
                      <w:kern w:val="0"/>
                      <w:sz w:val="18"/>
                      <w:szCs w:val="18"/>
                    </w:rPr>
                  </w:pPr>
                  <w:r>
                    <w:rPr>
                      <w:kern w:val="0"/>
                      <w:sz w:val="18"/>
                      <w:szCs w:val="18"/>
                    </w:rPr>
                    <w:t xml:space="preserve">52.4 </w:t>
                  </w:r>
                </w:p>
              </w:tc>
              <w:tc>
                <w:tcPr>
                  <w:tcW w:w="792"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56.9</w:t>
                  </w:r>
                </w:p>
              </w:tc>
              <w:tc>
                <w:tcPr>
                  <w:tcW w:w="856"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hint="eastAsia"/>
                      <w:kern w:val="0"/>
                      <w:sz w:val="18"/>
                      <w:szCs w:val="18"/>
                    </w:rPr>
                    <w:t>58.2</w:t>
                  </w:r>
                </w:p>
              </w:tc>
              <w:tc>
                <w:tcPr>
                  <w:tcW w:w="728" w:type="dxa"/>
                  <w:tcBorders>
                    <w:top w:val="single" w:color="auto" w:sz="4" w:space="0"/>
                    <w:left w:val="nil"/>
                    <w:bottom w:val="single" w:color="auto" w:sz="4" w:space="0"/>
                    <w:right w:val="single" w:color="auto" w:sz="4" w:space="0"/>
                  </w:tcBorders>
                  <w:vAlign w:val="center"/>
                </w:tcPr>
                <w:p>
                  <w:pPr>
                    <w:widowControl/>
                    <w:autoSpaceDE w:val="0"/>
                    <w:spacing w:line="260" w:lineRule="exact"/>
                    <w:ind w:left="-53" w:leftChars="-25" w:right="-53" w:rightChars="-25"/>
                    <w:jc w:val="center"/>
                    <w:rPr>
                      <w:kern w:val="0"/>
                      <w:sz w:val="18"/>
                      <w:szCs w:val="18"/>
                    </w:rPr>
                  </w:pPr>
                  <w:r>
                    <w:rPr>
                      <w:kern w:val="0"/>
                      <w:sz w:val="18"/>
                      <w:szCs w:val="18"/>
                    </w:rPr>
                    <w:t>60</w:t>
                  </w:r>
                </w:p>
              </w:tc>
              <w:tc>
                <w:tcPr>
                  <w:tcW w:w="658" w:type="dxa"/>
                  <w:tcBorders>
                    <w:top w:val="single" w:color="auto" w:sz="4" w:space="0"/>
                    <w:left w:val="nil"/>
                    <w:bottom w:val="single" w:color="auto" w:sz="4" w:space="0"/>
                    <w:right w:val="single" w:color="auto" w:sz="4" w:space="0"/>
                  </w:tcBorders>
                  <w:vAlign w:val="center"/>
                </w:tcPr>
                <w:p>
                  <w:pPr>
                    <w:autoSpaceDE w:val="0"/>
                    <w:spacing w:line="260" w:lineRule="exact"/>
                    <w:ind w:left="-53" w:leftChars="-25" w:right="-53" w:rightChars="-25"/>
                    <w:jc w:val="center"/>
                    <w:rPr>
                      <w:kern w:val="0"/>
                      <w:sz w:val="18"/>
                      <w:szCs w:val="18"/>
                    </w:rPr>
                  </w:pPr>
                  <w:r>
                    <w:rPr>
                      <w:rFonts w:ascii="宋体" w:hAnsi="宋体"/>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995" w:type="dxa"/>
                  <w:gridSpan w:val="9"/>
                  <w:tcBorders>
                    <w:top w:val="single" w:color="auto" w:sz="4" w:space="0"/>
                    <w:left w:val="single" w:color="auto" w:sz="4" w:space="0"/>
                    <w:bottom w:val="single" w:color="auto" w:sz="4" w:space="0"/>
                    <w:right w:val="single" w:color="auto" w:sz="4" w:space="0"/>
                  </w:tcBorders>
                  <w:vAlign w:val="center"/>
                </w:tcPr>
                <w:p>
                  <w:pPr>
                    <w:autoSpaceDE w:val="0"/>
                    <w:spacing w:line="260" w:lineRule="exact"/>
                    <w:ind w:left="-53" w:leftChars="-25" w:right="-53" w:rightChars="-25"/>
                    <w:rPr>
                      <w:kern w:val="0"/>
                      <w:sz w:val="18"/>
                      <w:szCs w:val="18"/>
                    </w:rPr>
                  </w:pPr>
                  <w:r>
                    <w:rPr>
                      <w:rFonts w:ascii="宋体" w:hAnsi="宋体"/>
                      <w:kern w:val="0"/>
                      <w:sz w:val="18"/>
                      <w:szCs w:val="18"/>
                    </w:rPr>
                    <w:t>注：（</w:t>
                  </w:r>
                  <w:r>
                    <w:rPr>
                      <w:kern w:val="0"/>
                      <w:sz w:val="18"/>
                      <w:szCs w:val="18"/>
                    </w:rPr>
                    <w:t>1</w:t>
                  </w:r>
                  <w:r>
                    <w:rPr>
                      <w:rFonts w:ascii="宋体" w:hAnsi="宋体"/>
                      <w:kern w:val="0"/>
                      <w:sz w:val="18"/>
                      <w:szCs w:val="18"/>
                    </w:rPr>
                    <w:t>）本表中的距离为</w:t>
                  </w:r>
                  <w:r>
                    <w:rPr>
                      <w:rFonts w:hint="eastAsia" w:ascii="宋体" w:hAnsi="宋体"/>
                      <w:kern w:val="0"/>
                      <w:sz w:val="18"/>
                      <w:szCs w:val="18"/>
                    </w:rPr>
                    <w:t>锅炉房</w:t>
                  </w:r>
                  <w:r>
                    <w:rPr>
                      <w:rFonts w:ascii="宋体" w:hAnsi="宋体"/>
                      <w:kern w:val="0"/>
                      <w:sz w:val="18"/>
                      <w:szCs w:val="18"/>
                    </w:rPr>
                    <w:t>与公司用地边界及敏感点的距离。（</w:t>
                  </w:r>
                  <w:r>
                    <w:rPr>
                      <w:kern w:val="0"/>
                      <w:sz w:val="18"/>
                      <w:szCs w:val="18"/>
                    </w:rPr>
                    <w:t>2</w:t>
                  </w:r>
                  <w:r>
                    <w:rPr>
                      <w:rFonts w:ascii="宋体" w:hAnsi="宋体"/>
                      <w:kern w:val="0"/>
                      <w:sz w:val="18"/>
                      <w:szCs w:val="18"/>
                    </w:rPr>
                    <w:t>）由于厂界噪声现状值为正常生产期间的排放现状，本车间技改后噪声在厂界有叠加，因此给出预测值。</w:t>
                  </w:r>
                </w:p>
              </w:tc>
            </w:tr>
          </w:tbl>
          <w:p>
            <w:pPr>
              <w:autoSpaceDE w:val="0"/>
              <w:autoSpaceDN w:val="0"/>
              <w:adjustRightInd w:val="0"/>
              <w:snapToGrid w:val="0"/>
              <w:spacing w:line="380" w:lineRule="exact"/>
              <w:ind w:firstLine="420" w:firstLineChars="200"/>
              <w:rPr>
                <w:kern w:val="0"/>
                <w:szCs w:val="21"/>
              </w:rPr>
            </w:pPr>
            <w:r>
              <w:rPr>
                <w:rFonts w:ascii="宋体" w:hAnsi="宋体"/>
                <w:kern w:val="0"/>
              </w:rPr>
              <w:t>由上表预测结果可知，本项目在采取优选设备、建筑隔声、基础减振、距离衰减等措施的情况下，项目厂界四周噪声</w:t>
            </w:r>
            <w:r>
              <w:rPr>
                <w:rFonts w:hint="eastAsia" w:ascii="宋体" w:hAnsi="宋体"/>
                <w:kern w:val="0"/>
              </w:rPr>
              <w:t>叠加现状值后</w:t>
            </w:r>
            <w:r>
              <w:rPr>
                <w:rFonts w:ascii="宋体" w:hAnsi="宋体"/>
                <w:kern w:val="0"/>
              </w:rPr>
              <w:t>能够满足《工业企业厂界环境噪声排放标准》（</w:t>
            </w:r>
            <w:r>
              <w:rPr>
                <w:kern w:val="0"/>
              </w:rPr>
              <w:t>GB12348-2008</w:t>
            </w:r>
            <w:r>
              <w:rPr>
                <w:rFonts w:ascii="宋体" w:hAnsi="宋体"/>
                <w:kern w:val="0"/>
              </w:rPr>
              <w:t>）</w:t>
            </w:r>
            <w:r>
              <w:rPr>
                <w:kern w:val="0"/>
              </w:rPr>
              <w:t>2</w:t>
            </w:r>
            <w:r>
              <w:rPr>
                <w:rFonts w:ascii="宋体" w:hAnsi="宋体"/>
                <w:kern w:val="0"/>
              </w:rPr>
              <w:t>类声环境功能区的排放限值要求。</w:t>
            </w:r>
          </w:p>
          <w:p>
            <w:pPr>
              <w:autoSpaceDE w:val="0"/>
              <w:autoSpaceDN w:val="0"/>
              <w:adjustRightInd w:val="0"/>
              <w:snapToGrid w:val="0"/>
              <w:spacing w:line="380" w:lineRule="exact"/>
              <w:ind w:firstLine="420" w:firstLineChars="200"/>
              <w:rPr>
                <w:kern w:val="0"/>
              </w:rPr>
            </w:pPr>
            <w:r>
              <w:rPr>
                <w:rFonts w:ascii="宋体" w:hAnsi="宋体"/>
                <w:kern w:val="0"/>
              </w:rPr>
              <w:t>评价认为，项目建设不会改变区域声环境质量现状。</w:t>
            </w:r>
          </w:p>
          <w:p>
            <w:pPr>
              <w:autoSpaceDE w:val="0"/>
              <w:autoSpaceDN w:val="0"/>
              <w:adjustRightInd w:val="0"/>
              <w:snapToGrid w:val="0"/>
              <w:spacing w:line="380" w:lineRule="exact"/>
              <w:ind w:firstLine="422" w:firstLineChars="200"/>
              <w:jc w:val="left"/>
              <w:rPr>
                <w:b/>
                <w:bCs/>
                <w:kern w:val="0"/>
              </w:rPr>
            </w:pPr>
            <w:r>
              <w:rPr>
                <w:rFonts w:ascii="宋体" w:hAnsi="宋体"/>
                <w:b/>
                <w:bCs/>
                <w:kern w:val="0"/>
              </w:rPr>
              <w:t>（</w:t>
            </w:r>
            <w:r>
              <w:rPr>
                <w:b/>
                <w:bCs/>
                <w:kern w:val="0"/>
              </w:rPr>
              <w:t>3</w:t>
            </w:r>
            <w:r>
              <w:rPr>
                <w:rFonts w:ascii="宋体" w:hAnsi="宋体"/>
                <w:b/>
                <w:bCs/>
                <w:kern w:val="0"/>
              </w:rPr>
              <w:t>）监测计划</w:t>
            </w:r>
          </w:p>
          <w:p>
            <w:pPr>
              <w:autoSpaceDE w:val="0"/>
              <w:autoSpaceDN w:val="0"/>
              <w:adjustRightInd w:val="0"/>
              <w:snapToGrid w:val="0"/>
              <w:spacing w:line="380" w:lineRule="exact"/>
              <w:ind w:firstLine="420" w:firstLineChars="200"/>
              <w:jc w:val="left"/>
              <w:rPr>
                <w:kern w:val="0"/>
                <w:sz w:val="24"/>
              </w:rPr>
            </w:pPr>
            <w:r>
              <w:rPr>
                <w:rFonts w:ascii="宋体" w:hAnsi="宋体"/>
                <w:kern w:val="0"/>
              </w:rPr>
              <w:t>根据《排污单位自行监测技术指南</w:t>
            </w:r>
            <w:r>
              <w:rPr>
                <w:kern w:val="0"/>
              </w:rPr>
              <w:t xml:space="preserve"> </w:t>
            </w:r>
            <w:r>
              <w:rPr>
                <w:rFonts w:ascii="宋体" w:hAnsi="宋体"/>
                <w:kern w:val="0"/>
              </w:rPr>
              <w:t>总则》（</w:t>
            </w:r>
            <w:r>
              <w:rPr>
                <w:kern w:val="0"/>
              </w:rPr>
              <w:t>HJ819-2017</w:t>
            </w:r>
            <w:r>
              <w:rPr>
                <w:rFonts w:ascii="宋体" w:hAnsi="宋体"/>
                <w:kern w:val="0"/>
              </w:rPr>
              <w:t>）文件，并结合本项目污染物的特点，制定营运期监测计划见下表。</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4-1</w:t>
            </w:r>
            <w:r>
              <w:rPr>
                <w:rFonts w:hint="eastAsia" w:eastAsia="黑体"/>
                <w:kern w:val="0"/>
                <w:sz w:val="20"/>
                <w:szCs w:val="20"/>
              </w:rPr>
              <w:t>0</w:t>
            </w:r>
            <w:r>
              <w:rPr>
                <w:rFonts w:eastAsia="黑体"/>
                <w:kern w:val="0"/>
                <w:sz w:val="20"/>
                <w:szCs w:val="20"/>
              </w:rPr>
              <w:t xml:space="preserve">   </w:t>
            </w:r>
            <w:r>
              <w:rPr>
                <w:rFonts w:ascii="黑体" w:hAnsi="黑体" w:eastAsia="黑体"/>
                <w:kern w:val="0"/>
                <w:sz w:val="20"/>
                <w:szCs w:val="20"/>
              </w:rPr>
              <w:t>营运期噪声监测计划</w:t>
            </w:r>
          </w:p>
          <w:tbl>
            <w:tblPr>
              <w:tblStyle w:val="21"/>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203"/>
              <w:gridCol w:w="1304"/>
              <w:gridCol w:w="3099"/>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ascii="宋体" w:hAnsi="宋体"/>
                      <w:b/>
                      <w:sz w:val="18"/>
                      <w:szCs w:val="18"/>
                    </w:rPr>
                    <w:t>监测项目</w:t>
                  </w:r>
                </w:p>
              </w:tc>
              <w:tc>
                <w:tcPr>
                  <w:tcW w:w="1203"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ascii="宋体" w:hAnsi="宋体"/>
                      <w:b/>
                      <w:sz w:val="18"/>
                      <w:szCs w:val="18"/>
                    </w:rPr>
                    <w:t>监测点位</w:t>
                  </w:r>
                </w:p>
              </w:tc>
              <w:tc>
                <w:tcPr>
                  <w:tcW w:w="13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ascii="宋体" w:hAnsi="宋体"/>
                      <w:b/>
                      <w:sz w:val="18"/>
                      <w:szCs w:val="18"/>
                    </w:rPr>
                    <w:t>监测因子</w:t>
                  </w:r>
                </w:p>
              </w:tc>
              <w:tc>
                <w:tcPr>
                  <w:tcW w:w="309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ascii="宋体" w:hAnsi="宋体"/>
                      <w:b/>
                      <w:sz w:val="18"/>
                      <w:szCs w:val="18"/>
                    </w:rPr>
                    <w:t>监测频次</w:t>
                  </w:r>
                </w:p>
              </w:tc>
              <w:tc>
                <w:tcPr>
                  <w:tcW w:w="1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ascii="宋体" w:hAnsi="宋体"/>
                      <w:b/>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ascii="宋体" w:hAnsi="宋体"/>
                      <w:bCs/>
                      <w:sz w:val="18"/>
                      <w:szCs w:val="18"/>
                    </w:rPr>
                    <w:t>噪声</w:t>
                  </w:r>
                </w:p>
              </w:tc>
              <w:tc>
                <w:tcPr>
                  <w:tcW w:w="1203"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ascii="宋体" w:hAnsi="宋体"/>
                      <w:bCs/>
                      <w:sz w:val="18"/>
                      <w:szCs w:val="18"/>
                    </w:rPr>
                    <w:t>厂界四周</w:t>
                  </w:r>
                </w:p>
              </w:tc>
              <w:tc>
                <w:tcPr>
                  <w:tcW w:w="130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ascii="宋体" w:hAnsi="宋体"/>
                      <w:sz w:val="18"/>
                      <w:szCs w:val="18"/>
                    </w:rPr>
                    <w:t>噪声</w:t>
                  </w:r>
                </w:p>
              </w:tc>
              <w:tc>
                <w:tcPr>
                  <w:tcW w:w="309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bCs/>
                      <w:sz w:val="18"/>
                      <w:szCs w:val="18"/>
                    </w:rPr>
                    <w:t>1</w:t>
                  </w:r>
                  <w:r>
                    <w:rPr>
                      <w:rFonts w:ascii="宋体" w:hAnsi="宋体"/>
                      <w:bCs/>
                      <w:sz w:val="18"/>
                      <w:szCs w:val="18"/>
                    </w:rPr>
                    <w:t>天（每天昼间</w:t>
                  </w:r>
                  <w:r>
                    <w:rPr>
                      <w:bCs/>
                      <w:sz w:val="18"/>
                      <w:szCs w:val="18"/>
                    </w:rPr>
                    <w:t>1</w:t>
                  </w:r>
                  <w:r>
                    <w:rPr>
                      <w:rFonts w:ascii="宋体" w:hAnsi="宋体"/>
                      <w:bCs/>
                      <w:sz w:val="18"/>
                      <w:szCs w:val="18"/>
                    </w:rPr>
                    <w:t>次，夜间不生产）</w:t>
                  </w:r>
                </w:p>
              </w:tc>
              <w:tc>
                <w:tcPr>
                  <w:tcW w:w="1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ascii="宋体" w:hAnsi="宋体"/>
                      <w:bCs/>
                      <w:sz w:val="18"/>
                      <w:szCs w:val="18"/>
                    </w:rPr>
                    <w:t>每季度</w:t>
                  </w:r>
                  <w:r>
                    <w:rPr>
                      <w:bCs/>
                      <w:sz w:val="18"/>
                      <w:szCs w:val="18"/>
                    </w:rPr>
                    <w:t>1</w:t>
                  </w:r>
                  <w:r>
                    <w:rPr>
                      <w:rFonts w:ascii="宋体" w:hAnsi="宋体"/>
                      <w:bCs/>
                      <w:sz w:val="18"/>
                      <w:szCs w:val="18"/>
                    </w:rPr>
                    <w:t>次</w:t>
                  </w:r>
                </w:p>
              </w:tc>
            </w:tr>
          </w:tbl>
          <w:p>
            <w:pPr>
              <w:autoSpaceDE w:val="0"/>
              <w:adjustRightInd w:val="0"/>
              <w:snapToGrid w:val="0"/>
              <w:spacing w:line="380" w:lineRule="exact"/>
              <w:ind w:left="-53" w:leftChars="-25" w:right="-53" w:rightChars="-25"/>
              <w:jc w:val="left"/>
              <w:rPr>
                <w:rFonts w:eastAsia="黑体"/>
                <w:bCs/>
                <w:sz w:val="22"/>
                <w:szCs w:val="22"/>
              </w:rPr>
            </w:pPr>
            <w:r>
              <w:rPr>
                <w:rFonts w:eastAsia="黑体"/>
                <w:bCs/>
                <w:sz w:val="22"/>
                <w:szCs w:val="22"/>
              </w:rPr>
              <w:t>4</w:t>
            </w:r>
            <w:r>
              <w:rPr>
                <w:rFonts w:ascii="黑体" w:hAnsi="黑体" w:eastAsia="黑体"/>
                <w:bCs/>
                <w:sz w:val="22"/>
                <w:szCs w:val="22"/>
              </w:rPr>
              <w:t>、固体废物</w:t>
            </w:r>
          </w:p>
          <w:p>
            <w:pPr>
              <w:adjustRightInd w:val="0"/>
              <w:snapToGrid w:val="0"/>
              <w:spacing w:line="380" w:lineRule="exact"/>
              <w:ind w:firstLine="422" w:firstLineChars="200"/>
              <w:jc w:val="left"/>
              <w:rPr>
                <w:b/>
                <w:bCs/>
                <w:szCs w:val="21"/>
              </w:rPr>
            </w:pPr>
            <w:r>
              <w:rPr>
                <w:rFonts w:ascii="宋体" w:hAnsi="宋体"/>
                <w:b/>
                <w:bCs/>
              </w:rPr>
              <w:t>（</w:t>
            </w:r>
            <w:r>
              <w:rPr>
                <w:b/>
                <w:bCs/>
              </w:rPr>
              <w:t>1</w:t>
            </w:r>
            <w:r>
              <w:rPr>
                <w:rFonts w:ascii="宋体" w:hAnsi="宋体"/>
                <w:b/>
                <w:bCs/>
              </w:rPr>
              <w:t>）固废产生情况</w:t>
            </w:r>
          </w:p>
          <w:p>
            <w:pPr>
              <w:autoSpaceDE w:val="0"/>
              <w:autoSpaceDN w:val="0"/>
              <w:adjustRightInd w:val="0"/>
              <w:snapToGrid w:val="0"/>
              <w:spacing w:line="380" w:lineRule="exact"/>
              <w:ind w:firstLine="420" w:firstLineChars="200"/>
              <w:jc w:val="left"/>
              <w:rPr>
                <w:rFonts w:eastAsia="黑体"/>
                <w:kern w:val="0"/>
                <w:sz w:val="20"/>
                <w:szCs w:val="20"/>
              </w:rPr>
            </w:pPr>
            <w:r>
              <w:rPr>
                <w:rFonts w:ascii="宋体" w:hAnsi="宋体"/>
                <w:kern w:val="0"/>
              </w:rPr>
              <w:t>营运期固废主要为</w:t>
            </w:r>
            <w:r>
              <w:rPr>
                <w:rFonts w:hint="eastAsia" w:ascii="宋体" w:hAnsi="宋体"/>
                <w:kern w:val="0"/>
              </w:rPr>
              <w:t>软水设备更换的废离子交换树脂</w:t>
            </w:r>
            <w:r>
              <w:rPr>
                <w:rFonts w:ascii="宋体" w:hAnsi="宋体"/>
                <w:kern w:val="0"/>
              </w:rPr>
              <w:t>。</w:t>
            </w:r>
          </w:p>
          <w:p>
            <w:pPr>
              <w:autoSpaceDE w:val="0"/>
              <w:autoSpaceDN w:val="0"/>
              <w:adjustRightInd w:val="0"/>
              <w:snapToGrid w:val="0"/>
              <w:spacing w:line="300" w:lineRule="exact"/>
              <w:jc w:val="center"/>
              <w:rPr>
                <w:rFonts w:ascii="黑体" w:hAnsi="黑体" w:eastAsia="黑体"/>
                <w:kern w:val="0"/>
                <w:sz w:val="20"/>
                <w:szCs w:val="20"/>
              </w:rPr>
            </w:pPr>
          </w:p>
          <w:p>
            <w:pPr>
              <w:autoSpaceDE w:val="0"/>
              <w:autoSpaceDN w:val="0"/>
              <w:adjustRightInd w:val="0"/>
              <w:snapToGrid w:val="0"/>
              <w:spacing w:line="300" w:lineRule="exact"/>
              <w:jc w:val="center"/>
              <w:rPr>
                <w:rFonts w:ascii="黑体" w:hAnsi="黑体" w:eastAsia="黑体"/>
                <w:kern w:val="0"/>
                <w:sz w:val="20"/>
                <w:szCs w:val="20"/>
              </w:rPr>
            </w:pPr>
          </w:p>
          <w:p>
            <w:pPr>
              <w:autoSpaceDE w:val="0"/>
              <w:autoSpaceDN w:val="0"/>
              <w:adjustRightInd w:val="0"/>
              <w:snapToGrid w:val="0"/>
              <w:spacing w:line="30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4-1</w:t>
            </w:r>
            <w:r>
              <w:rPr>
                <w:rFonts w:hint="eastAsia" w:eastAsia="黑体"/>
                <w:kern w:val="0"/>
                <w:sz w:val="20"/>
                <w:szCs w:val="20"/>
              </w:rPr>
              <w:t>1</w:t>
            </w:r>
            <w:r>
              <w:rPr>
                <w:rFonts w:eastAsia="黑体"/>
                <w:kern w:val="0"/>
                <w:sz w:val="20"/>
                <w:szCs w:val="20"/>
              </w:rPr>
              <w:t xml:space="preserve">   </w:t>
            </w:r>
            <w:r>
              <w:rPr>
                <w:rFonts w:ascii="黑体" w:hAnsi="黑体" w:eastAsia="黑体"/>
                <w:kern w:val="0"/>
                <w:sz w:val="20"/>
                <w:szCs w:val="20"/>
              </w:rPr>
              <w:t>一般固体废物产生情况表</w:t>
            </w:r>
          </w:p>
          <w:tbl>
            <w:tblPr>
              <w:tblStyle w:val="21"/>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000"/>
              <w:gridCol w:w="1175"/>
              <w:gridCol w:w="924"/>
              <w:gridCol w:w="793"/>
              <w:gridCol w:w="606"/>
              <w:gridCol w:w="837"/>
              <w:gridCol w:w="1418"/>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序号</w:t>
                  </w:r>
                </w:p>
              </w:tc>
              <w:tc>
                <w:tcPr>
                  <w:tcW w:w="10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名称</w:t>
                  </w:r>
                </w:p>
              </w:tc>
              <w:tc>
                <w:tcPr>
                  <w:tcW w:w="11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产生环节</w:t>
                  </w:r>
                </w:p>
              </w:tc>
              <w:tc>
                <w:tcPr>
                  <w:tcW w:w="92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编号</w:t>
                  </w:r>
                </w:p>
              </w:tc>
              <w:tc>
                <w:tcPr>
                  <w:tcW w:w="7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产生量</w:t>
                  </w:r>
                </w:p>
              </w:tc>
              <w:tc>
                <w:tcPr>
                  <w:tcW w:w="606" w:type="dxa"/>
                  <w:tcBorders>
                    <w:top w:val="single" w:color="auto" w:sz="4" w:space="0"/>
                    <w:left w:val="nil"/>
                    <w:bottom w:val="single" w:color="auto" w:sz="4" w:space="0"/>
                    <w:right w:val="single" w:color="auto" w:sz="4" w:space="0"/>
                  </w:tcBorders>
                  <w:vAlign w:val="center"/>
                </w:tcPr>
                <w:p>
                  <w:pPr>
                    <w:spacing w:line="280" w:lineRule="exact"/>
                    <w:ind w:left="-71" w:leftChars="-34" w:right="-71" w:rightChars="-34"/>
                    <w:jc w:val="center"/>
                    <w:rPr>
                      <w:b/>
                      <w:bCs/>
                      <w:sz w:val="16"/>
                      <w:szCs w:val="16"/>
                    </w:rPr>
                  </w:pPr>
                  <w:r>
                    <w:rPr>
                      <w:rFonts w:ascii="宋体" w:hAnsi="宋体"/>
                      <w:b/>
                      <w:bCs/>
                      <w:sz w:val="16"/>
                      <w:szCs w:val="16"/>
                    </w:rPr>
                    <w:t>性状</w:t>
                  </w:r>
                </w:p>
              </w:tc>
              <w:tc>
                <w:tcPr>
                  <w:tcW w:w="83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主要成分</w:t>
                  </w:r>
                </w:p>
              </w:tc>
              <w:tc>
                <w:tcPr>
                  <w:tcW w:w="1418"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贮存方式</w:t>
                  </w:r>
                </w:p>
              </w:tc>
              <w:tc>
                <w:tcPr>
                  <w:tcW w:w="925"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bCs/>
                      <w:sz w:val="18"/>
                      <w:szCs w:val="18"/>
                    </w:rPr>
                    <w:t>1</w:t>
                  </w:r>
                </w:p>
              </w:tc>
              <w:tc>
                <w:tcPr>
                  <w:tcW w:w="10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ascii="宋体" w:hAnsi="宋体"/>
                      <w:bCs/>
                      <w:sz w:val="18"/>
                      <w:szCs w:val="18"/>
                    </w:rPr>
                    <w:t>废离子交换树脂</w:t>
                  </w:r>
                </w:p>
              </w:tc>
              <w:tc>
                <w:tcPr>
                  <w:tcW w:w="11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ascii="宋体" w:hAnsi="宋体"/>
                      <w:bCs/>
                      <w:sz w:val="18"/>
                      <w:szCs w:val="18"/>
                    </w:rPr>
                    <w:t>软水制备</w:t>
                  </w:r>
                </w:p>
              </w:tc>
              <w:tc>
                <w:tcPr>
                  <w:tcW w:w="924"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bCs/>
                      <w:sz w:val="18"/>
                      <w:szCs w:val="18"/>
                    </w:rPr>
                    <w:t>443</w:t>
                  </w:r>
                  <w:r>
                    <w:rPr>
                      <w:bCs/>
                      <w:sz w:val="18"/>
                      <w:szCs w:val="18"/>
                    </w:rPr>
                    <w:t>-001-</w:t>
                  </w:r>
                  <w:r>
                    <w:rPr>
                      <w:rFonts w:hint="eastAsia"/>
                      <w:bCs/>
                      <w:sz w:val="18"/>
                      <w:szCs w:val="18"/>
                    </w:rPr>
                    <w:t>99</w:t>
                  </w:r>
                </w:p>
              </w:tc>
              <w:tc>
                <w:tcPr>
                  <w:tcW w:w="7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bCs/>
                      <w:sz w:val="18"/>
                      <w:szCs w:val="18"/>
                    </w:rPr>
                    <w:t>0.1</w:t>
                  </w:r>
                </w:p>
              </w:tc>
              <w:tc>
                <w:tcPr>
                  <w:tcW w:w="606" w:type="dxa"/>
                  <w:tcBorders>
                    <w:top w:val="single" w:color="auto" w:sz="4" w:space="0"/>
                    <w:left w:val="nil"/>
                    <w:bottom w:val="single" w:color="auto" w:sz="4" w:space="0"/>
                    <w:right w:val="single" w:color="auto" w:sz="4" w:space="0"/>
                  </w:tcBorders>
                  <w:vAlign w:val="center"/>
                </w:tcPr>
                <w:p>
                  <w:pPr>
                    <w:spacing w:line="280" w:lineRule="exact"/>
                    <w:ind w:left="-71" w:leftChars="-34" w:right="-71" w:rightChars="-34"/>
                    <w:jc w:val="center"/>
                    <w:rPr>
                      <w:bCs/>
                      <w:sz w:val="16"/>
                      <w:szCs w:val="16"/>
                    </w:rPr>
                  </w:pPr>
                  <w:r>
                    <w:rPr>
                      <w:rFonts w:ascii="宋体" w:hAnsi="宋体"/>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ascii="宋体" w:hAnsi="宋体"/>
                      <w:bCs/>
                      <w:sz w:val="18"/>
                      <w:szCs w:val="18"/>
                    </w:rPr>
                    <w:t>树脂</w:t>
                  </w:r>
                </w:p>
              </w:tc>
              <w:tc>
                <w:tcPr>
                  <w:tcW w:w="1418"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ascii="宋体" w:hAnsi="宋体"/>
                      <w:bCs/>
                      <w:sz w:val="18"/>
                      <w:szCs w:val="18"/>
                    </w:rPr>
                    <w:t>与生活垃圾一起收集</w:t>
                  </w:r>
                </w:p>
              </w:tc>
              <w:tc>
                <w:tcPr>
                  <w:tcW w:w="925"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ascii="宋体" w:hAnsi="宋体"/>
                      <w:bCs/>
                      <w:sz w:val="18"/>
                      <w:szCs w:val="18"/>
                    </w:rPr>
                    <w:t>环卫收集</w:t>
                  </w:r>
                </w:p>
              </w:tc>
            </w:tr>
          </w:tbl>
          <w:p>
            <w:pPr>
              <w:adjustRightInd w:val="0"/>
              <w:snapToGrid w:val="0"/>
              <w:spacing w:line="380" w:lineRule="exact"/>
              <w:ind w:left="-53" w:leftChars="-25" w:right="-53" w:rightChars="-25" w:firstLine="422" w:firstLineChars="200"/>
              <w:jc w:val="left"/>
              <w:rPr>
                <w:b/>
                <w:bCs/>
                <w:szCs w:val="21"/>
              </w:rPr>
            </w:pPr>
            <w:r>
              <w:rPr>
                <w:rFonts w:ascii="宋体" w:hAnsi="宋体"/>
                <w:b/>
                <w:bCs/>
              </w:rPr>
              <w:t>（</w:t>
            </w:r>
            <w:r>
              <w:rPr>
                <w:b/>
                <w:bCs/>
              </w:rPr>
              <w:t>2</w:t>
            </w:r>
            <w:r>
              <w:rPr>
                <w:rFonts w:ascii="宋体" w:hAnsi="宋体"/>
                <w:b/>
                <w:bCs/>
              </w:rPr>
              <w:t>）固废处置措施</w:t>
            </w:r>
          </w:p>
          <w:p>
            <w:pPr>
              <w:autoSpaceDE w:val="0"/>
              <w:autoSpaceDN w:val="0"/>
              <w:adjustRightInd w:val="0"/>
              <w:snapToGrid w:val="0"/>
              <w:spacing w:line="410" w:lineRule="exact"/>
              <w:ind w:firstLine="420" w:firstLineChars="200"/>
              <w:jc w:val="left"/>
              <w:rPr>
                <w:kern w:val="0"/>
                <w:szCs w:val="21"/>
              </w:rPr>
            </w:pPr>
            <w:r>
              <w:rPr>
                <w:rFonts w:hint="eastAsia"/>
                <w:kern w:val="0"/>
                <w:szCs w:val="21"/>
              </w:rPr>
              <w:t>项目定期更换下来的</w:t>
            </w:r>
            <w:r>
              <w:rPr>
                <w:kern w:val="0"/>
                <w:szCs w:val="21"/>
              </w:rPr>
              <w:t>废离子交换树脂</w:t>
            </w:r>
            <w:r>
              <w:rPr>
                <w:rFonts w:hint="eastAsia"/>
                <w:kern w:val="0"/>
                <w:szCs w:val="21"/>
              </w:rPr>
              <w:t>属于一般固废，收集后可与生活垃圾一并处理。</w:t>
            </w:r>
            <w:r>
              <w:rPr>
                <w:kern w:val="0"/>
                <w:szCs w:val="21"/>
              </w:rPr>
              <w:t>办公生活区设置垃圾桶收集，定期外运至</w:t>
            </w:r>
            <w:r>
              <w:rPr>
                <w:rFonts w:hint="eastAsia"/>
                <w:kern w:val="0"/>
                <w:szCs w:val="21"/>
              </w:rPr>
              <w:t>东岳</w:t>
            </w:r>
            <w:r>
              <w:rPr>
                <w:kern w:val="0"/>
                <w:szCs w:val="21"/>
              </w:rPr>
              <w:t>场镇的生活垃圾集中收集点，由环卫部门负责清运处置，对周围环境造成的影响很小</w:t>
            </w:r>
            <w:r>
              <w:rPr>
                <w:rFonts w:hint="eastAsia"/>
                <w:kern w:val="0"/>
                <w:szCs w:val="21"/>
              </w:rPr>
              <w:t>。</w:t>
            </w:r>
            <w:r>
              <w:rPr>
                <w:kern w:val="0"/>
                <w:szCs w:val="21"/>
              </w:rPr>
              <w:t>其处理措施技术可行、经济合理。</w:t>
            </w:r>
          </w:p>
          <w:p>
            <w:pPr>
              <w:autoSpaceDE w:val="0"/>
              <w:autoSpaceDN w:val="0"/>
              <w:adjustRightInd w:val="0"/>
              <w:snapToGrid w:val="0"/>
              <w:spacing w:line="380" w:lineRule="exact"/>
              <w:ind w:right="-31" w:rightChars="-15"/>
              <w:rPr>
                <w:rFonts w:eastAsia="黑体"/>
                <w:kern w:val="0"/>
                <w:sz w:val="22"/>
                <w:szCs w:val="22"/>
              </w:rPr>
            </w:pPr>
            <w:r>
              <w:rPr>
                <w:rFonts w:hint="eastAsia" w:eastAsia="黑体"/>
                <w:kern w:val="0"/>
                <w:sz w:val="22"/>
                <w:szCs w:val="22"/>
              </w:rPr>
              <w:t>5</w:t>
            </w:r>
            <w:r>
              <w:rPr>
                <w:rFonts w:ascii="黑体" w:hAnsi="黑体" w:eastAsia="黑体"/>
                <w:kern w:val="0"/>
                <w:sz w:val="22"/>
                <w:szCs w:val="22"/>
              </w:rPr>
              <w:t>、地下水、土壤</w:t>
            </w:r>
          </w:p>
          <w:p>
            <w:pPr>
              <w:autoSpaceDE w:val="0"/>
              <w:autoSpaceDN w:val="0"/>
              <w:adjustRightInd w:val="0"/>
              <w:snapToGrid w:val="0"/>
              <w:spacing w:line="380" w:lineRule="exact"/>
              <w:ind w:firstLine="420" w:firstLineChars="200"/>
              <w:jc w:val="left"/>
              <w:rPr>
                <w:szCs w:val="21"/>
              </w:rPr>
            </w:pPr>
            <w:r>
              <w:rPr>
                <w:rFonts w:ascii="宋体" w:hAnsi="宋体"/>
              </w:rPr>
              <w:t>项目为热力生产和供应业，不涉及土壤和地下水污染途径，因此，本次环评不对土壤和地下水进行环境影响分析。</w:t>
            </w:r>
          </w:p>
          <w:p>
            <w:pPr>
              <w:adjustRightInd w:val="0"/>
              <w:snapToGrid w:val="0"/>
              <w:spacing w:line="380" w:lineRule="exact"/>
              <w:ind w:left="-53" w:leftChars="-25" w:right="-53" w:rightChars="-25"/>
              <w:jc w:val="left"/>
              <w:rPr>
                <w:rFonts w:eastAsia="黑体"/>
                <w:bCs/>
                <w:sz w:val="22"/>
                <w:szCs w:val="22"/>
              </w:rPr>
            </w:pPr>
            <w:r>
              <w:rPr>
                <w:rFonts w:hint="eastAsia" w:eastAsia="黑体"/>
                <w:bCs/>
                <w:sz w:val="22"/>
                <w:szCs w:val="22"/>
              </w:rPr>
              <w:t>6</w:t>
            </w:r>
            <w:r>
              <w:rPr>
                <w:rFonts w:eastAsia="黑体"/>
                <w:bCs/>
                <w:sz w:val="22"/>
                <w:szCs w:val="22"/>
              </w:rPr>
              <w:t>、环境风险</w:t>
            </w:r>
          </w:p>
          <w:p>
            <w:pPr>
              <w:adjustRightInd w:val="0"/>
              <w:snapToGrid w:val="0"/>
              <w:spacing w:line="400" w:lineRule="exact"/>
              <w:ind w:left="-53" w:leftChars="-25" w:right="-53" w:rightChars="-25" w:firstLine="422" w:firstLineChars="200"/>
              <w:jc w:val="left"/>
              <w:rPr>
                <w:b/>
                <w:bCs/>
              </w:rPr>
            </w:pPr>
            <w:r>
              <w:rPr>
                <w:rFonts w:ascii="宋体" w:hAnsi="宋体"/>
                <w:b/>
                <w:bCs/>
              </w:rPr>
              <w:t>（</w:t>
            </w:r>
            <w:r>
              <w:rPr>
                <w:b/>
                <w:bCs/>
              </w:rPr>
              <w:t>1</w:t>
            </w:r>
            <w:r>
              <w:rPr>
                <w:rFonts w:ascii="宋体" w:hAnsi="宋体"/>
                <w:b/>
                <w:bCs/>
              </w:rPr>
              <w:t>）危险物质及分布情况</w:t>
            </w:r>
          </w:p>
          <w:p>
            <w:pPr>
              <w:adjustRightInd w:val="0"/>
              <w:snapToGrid w:val="0"/>
              <w:spacing w:line="400" w:lineRule="exact"/>
              <w:ind w:left="-53" w:leftChars="-25" w:right="-53" w:rightChars="-25" w:firstLine="420" w:firstLineChars="200"/>
              <w:jc w:val="left"/>
            </w:pPr>
            <w:r>
              <w:rPr>
                <w:rFonts w:ascii="宋体" w:hAnsi="宋体"/>
              </w:rPr>
              <w:t>对照《建设项目环境风险评价技术导则》</w:t>
            </w:r>
            <w:r>
              <w:t>(HJ169-2018</w:t>
            </w:r>
            <w:r>
              <w:rPr>
                <w:rFonts w:ascii="宋体" w:hAnsi="宋体"/>
              </w:rPr>
              <w:t>）附录中</w:t>
            </w:r>
            <w:r>
              <w:t>B</w:t>
            </w:r>
            <w:r>
              <w:rPr>
                <w:rFonts w:ascii="宋体" w:hAnsi="宋体"/>
              </w:rPr>
              <w:t>，项目涉及的危险物质主要有</w:t>
            </w:r>
            <w:r>
              <w:rPr>
                <w:rFonts w:hint="eastAsia" w:ascii="宋体" w:hAnsi="宋体"/>
              </w:rPr>
              <w:t>天然气，其主要成分为甲烷</w:t>
            </w:r>
            <w:r>
              <w:rPr>
                <w:rFonts w:ascii="宋体" w:hAnsi="宋体"/>
              </w:rPr>
              <w:t>，根据《企业突发环境事件风险分级方法》（</w:t>
            </w:r>
            <w:r>
              <w:t>HJ941-2018</w:t>
            </w:r>
            <w:r>
              <w:rPr>
                <w:rFonts w:ascii="宋体" w:hAnsi="宋体"/>
              </w:rPr>
              <w:t>）附录</w:t>
            </w:r>
            <w:r>
              <w:t>A</w:t>
            </w:r>
            <w:r>
              <w:rPr>
                <w:rFonts w:ascii="宋体" w:hAnsi="宋体"/>
              </w:rPr>
              <w:t>，</w:t>
            </w:r>
            <w:r>
              <w:rPr>
                <w:rFonts w:hint="eastAsia" w:ascii="宋体" w:hAnsi="宋体"/>
              </w:rPr>
              <w:t>甲烷</w:t>
            </w:r>
            <w:r>
              <w:rPr>
                <w:rFonts w:ascii="宋体" w:hAnsi="宋体"/>
              </w:rPr>
              <w:t>为风险物质。</w:t>
            </w:r>
            <w:r>
              <w:t xml:space="preserve"> </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eastAsia="黑体"/>
                <w:kern w:val="0"/>
                <w:sz w:val="20"/>
                <w:szCs w:val="20"/>
              </w:rPr>
              <w:t>4-1</w:t>
            </w:r>
            <w:r>
              <w:rPr>
                <w:rFonts w:hint="eastAsia" w:eastAsia="黑体"/>
                <w:kern w:val="0"/>
                <w:sz w:val="20"/>
                <w:szCs w:val="20"/>
              </w:rPr>
              <w:t>2</w:t>
            </w:r>
            <w:r>
              <w:rPr>
                <w:rFonts w:eastAsia="黑体"/>
                <w:kern w:val="0"/>
                <w:sz w:val="20"/>
                <w:szCs w:val="20"/>
              </w:rPr>
              <w:t xml:space="preserve">   </w:t>
            </w:r>
            <w:r>
              <w:rPr>
                <w:rFonts w:ascii="黑体" w:hAnsi="黑体" w:eastAsia="黑体"/>
                <w:kern w:val="0"/>
                <w:sz w:val="20"/>
                <w:szCs w:val="20"/>
              </w:rPr>
              <w:t>危险废物产生情况表</w:t>
            </w:r>
          </w:p>
          <w:tbl>
            <w:tblPr>
              <w:tblStyle w:val="21"/>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2050"/>
              <w:gridCol w:w="1463"/>
              <w:gridCol w:w="1080"/>
              <w:gridCol w:w="819"/>
              <w:gridCol w:w="968"/>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6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序号</w:t>
                  </w:r>
                </w:p>
              </w:tc>
              <w:tc>
                <w:tcPr>
                  <w:tcW w:w="205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构成重大危险源的危险化学品名称</w:t>
                  </w:r>
                </w:p>
              </w:tc>
              <w:tc>
                <w:tcPr>
                  <w:tcW w:w="14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最大</w:t>
                  </w:r>
                  <w:r>
                    <w:rPr>
                      <w:rFonts w:hint="eastAsia" w:ascii="宋体" w:hAnsi="宋体"/>
                      <w:b/>
                      <w:sz w:val="18"/>
                      <w:szCs w:val="18"/>
                    </w:rPr>
                    <w:t>在线</w:t>
                  </w:r>
                  <w:r>
                    <w:rPr>
                      <w:rFonts w:ascii="宋体" w:hAnsi="宋体"/>
                      <w:b/>
                      <w:sz w:val="18"/>
                      <w:szCs w:val="18"/>
                    </w:rPr>
                    <w:t>量（</w:t>
                  </w:r>
                  <w:r>
                    <w:rPr>
                      <w:b/>
                      <w:sz w:val="18"/>
                      <w:szCs w:val="18"/>
                    </w:rPr>
                    <w:t>t</w:t>
                  </w:r>
                  <w:r>
                    <w:rPr>
                      <w:rFonts w:ascii="宋体" w:hAnsi="宋体"/>
                      <w:b/>
                      <w:sz w:val="18"/>
                      <w:szCs w:val="18"/>
                    </w:rPr>
                    <w:t>）</w:t>
                  </w:r>
                </w:p>
              </w:tc>
              <w:tc>
                <w:tcPr>
                  <w:tcW w:w="1080"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贮存方式</w:t>
                  </w:r>
                </w:p>
              </w:tc>
              <w:tc>
                <w:tcPr>
                  <w:tcW w:w="81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临界量</w:t>
                  </w:r>
                </w:p>
              </w:tc>
              <w:tc>
                <w:tcPr>
                  <w:tcW w:w="968"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Q</w:t>
                  </w:r>
                  <w:r>
                    <w:rPr>
                      <w:rFonts w:hint="eastAsia" w:ascii="宋体" w:hAnsi="宋体"/>
                      <w:b/>
                      <w:sz w:val="18"/>
                      <w:szCs w:val="18"/>
                    </w:rPr>
                    <w:t>值</w:t>
                  </w:r>
                </w:p>
              </w:tc>
              <w:tc>
                <w:tcPr>
                  <w:tcW w:w="1072"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ascii="宋体" w:hAnsi="宋体"/>
                      <w:b/>
                      <w:sz w:val="18"/>
                      <w:szCs w:val="18"/>
                    </w:rPr>
                    <w:t>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65"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0" w:lineRule="exact"/>
                    <w:ind w:left="-71" w:leftChars="-34" w:right="-71" w:rightChars="-34"/>
                    <w:jc w:val="center"/>
                    <w:rPr>
                      <w:bCs/>
                      <w:sz w:val="18"/>
                      <w:szCs w:val="18"/>
                    </w:rPr>
                  </w:pPr>
                  <w:r>
                    <w:rPr>
                      <w:bCs/>
                      <w:sz w:val="18"/>
                      <w:szCs w:val="18"/>
                    </w:rPr>
                    <w:t>1</w:t>
                  </w:r>
                </w:p>
              </w:tc>
              <w:tc>
                <w:tcPr>
                  <w:tcW w:w="205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ascii="宋体" w:hAnsi="宋体"/>
                      <w:kern w:val="0"/>
                      <w:sz w:val="18"/>
                      <w:szCs w:val="18"/>
                    </w:rPr>
                    <w:t>天然气（主要成分</w:t>
                  </w:r>
                  <w:r>
                    <w:rPr>
                      <w:rFonts w:ascii="宋体" w:hAnsi="宋体"/>
                      <w:kern w:val="0"/>
                      <w:sz w:val="18"/>
                      <w:szCs w:val="18"/>
                    </w:rPr>
                    <w:t>甲烷</w:t>
                  </w:r>
                  <w:r>
                    <w:rPr>
                      <w:rFonts w:hint="eastAsia" w:ascii="宋体" w:hAnsi="宋体"/>
                      <w:kern w:val="0"/>
                      <w:sz w:val="18"/>
                      <w:szCs w:val="18"/>
                    </w:rPr>
                    <w:t>）</w:t>
                  </w:r>
                </w:p>
              </w:tc>
              <w:tc>
                <w:tcPr>
                  <w:tcW w:w="146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w:t>
                  </w:r>
                  <w:r>
                    <w:rPr>
                      <w:rFonts w:hint="eastAsia"/>
                      <w:kern w:val="0"/>
                      <w:sz w:val="18"/>
                      <w:szCs w:val="18"/>
                    </w:rPr>
                    <w:t>00038*</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管道</w:t>
                  </w:r>
                </w:p>
              </w:tc>
              <w:tc>
                <w:tcPr>
                  <w:tcW w:w="819" w:type="dxa"/>
                  <w:tcBorders>
                    <w:top w:val="single" w:color="auto" w:sz="4" w:space="0"/>
                    <w:left w:val="single" w:color="auto" w:sz="4" w:space="0"/>
                    <w:bottom w:val="single" w:color="auto" w:sz="4" w:space="0"/>
                    <w:right w:val="single" w:color="auto" w:sz="4" w:space="0"/>
                  </w:tcBorders>
                </w:tcPr>
                <w:p>
                  <w:pPr>
                    <w:spacing w:line="280" w:lineRule="exact"/>
                    <w:ind w:left="-71" w:leftChars="-34" w:right="-71" w:rightChars="-34"/>
                    <w:jc w:val="center"/>
                    <w:rPr>
                      <w:kern w:val="0"/>
                      <w:sz w:val="18"/>
                      <w:szCs w:val="18"/>
                    </w:rPr>
                  </w:pPr>
                  <w:r>
                    <w:rPr>
                      <w:rFonts w:hint="eastAsia"/>
                      <w:kern w:val="0"/>
                      <w:sz w:val="18"/>
                      <w:szCs w:val="18"/>
                    </w:rPr>
                    <w:t>1</w:t>
                  </w:r>
                  <w:r>
                    <w:rPr>
                      <w:kern w:val="0"/>
                      <w:sz w:val="18"/>
                      <w:szCs w:val="18"/>
                    </w:rPr>
                    <w:t>0</w:t>
                  </w:r>
                </w:p>
              </w:tc>
              <w:tc>
                <w:tcPr>
                  <w:tcW w:w="968" w:type="dxa"/>
                  <w:tcBorders>
                    <w:top w:val="single" w:color="auto" w:sz="4" w:space="0"/>
                    <w:left w:val="nil"/>
                    <w:bottom w:val="single" w:color="auto" w:sz="4" w:space="0"/>
                    <w:right w:val="single" w:color="auto" w:sz="4" w:space="0"/>
                  </w:tcBorders>
                </w:tcPr>
                <w:p>
                  <w:pPr>
                    <w:spacing w:line="280" w:lineRule="exact"/>
                    <w:ind w:left="-71" w:leftChars="-34" w:right="-71" w:rightChars="-34"/>
                    <w:jc w:val="center"/>
                    <w:rPr>
                      <w:kern w:val="0"/>
                      <w:sz w:val="18"/>
                      <w:szCs w:val="18"/>
                    </w:rPr>
                  </w:pPr>
                  <w:r>
                    <w:rPr>
                      <w:rFonts w:hint="eastAsia"/>
                      <w:kern w:val="0"/>
                      <w:sz w:val="18"/>
                      <w:szCs w:val="18"/>
                    </w:rPr>
                    <w:t>0.000038</w:t>
                  </w:r>
                </w:p>
              </w:tc>
              <w:tc>
                <w:tcPr>
                  <w:tcW w:w="1072" w:type="dxa"/>
                  <w:tcBorders>
                    <w:top w:val="single" w:color="auto" w:sz="4" w:space="0"/>
                    <w:left w:val="nil"/>
                    <w:bottom w:val="single" w:color="auto" w:sz="4" w:space="0"/>
                    <w:right w:val="single" w:color="auto" w:sz="4" w:space="0"/>
                  </w:tcBorders>
                </w:tcPr>
                <w:p>
                  <w:pPr>
                    <w:spacing w:line="280" w:lineRule="exact"/>
                    <w:ind w:left="-71" w:leftChars="-34" w:right="-71" w:rightChars="-34"/>
                    <w:jc w:val="center"/>
                    <w:rPr>
                      <w:kern w:val="0"/>
                      <w:sz w:val="18"/>
                      <w:szCs w:val="18"/>
                    </w:rPr>
                  </w:pPr>
                  <w:r>
                    <w:rPr>
                      <w:rFonts w:ascii="宋体" w:hAnsi="宋体"/>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117" w:type="dxa"/>
                  <w:gridSpan w:val="7"/>
                  <w:tcBorders>
                    <w:top w:val="single" w:color="auto" w:sz="4" w:space="0"/>
                    <w:left w:val="single" w:color="auto" w:sz="4" w:space="0"/>
                    <w:bottom w:val="single" w:color="auto" w:sz="4" w:space="0"/>
                    <w:right w:val="single" w:color="auto" w:sz="4" w:space="0"/>
                  </w:tcBorders>
                </w:tcPr>
                <w:p>
                  <w:pPr>
                    <w:spacing w:line="280" w:lineRule="exact"/>
                    <w:ind w:left="-71" w:leftChars="-34" w:right="-71" w:rightChars="-34"/>
                    <w:rPr>
                      <w:kern w:val="0"/>
                      <w:sz w:val="18"/>
                      <w:szCs w:val="18"/>
                    </w:rPr>
                  </w:pPr>
                  <w:r>
                    <w:rPr>
                      <w:rFonts w:ascii="宋体" w:hAnsi="宋体"/>
                      <w:kern w:val="0"/>
                      <w:sz w:val="18"/>
                      <w:szCs w:val="18"/>
                    </w:rPr>
                    <w:t>注</w:t>
                  </w:r>
                  <w:r>
                    <w:rPr>
                      <w:rFonts w:hint="eastAsia"/>
                      <w:kern w:val="0"/>
                      <w:sz w:val="18"/>
                      <w:szCs w:val="18"/>
                    </w:rPr>
                    <w:t>*</w:t>
                  </w:r>
                  <w:r>
                    <w:rPr>
                      <w:rFonts w:ascii="宋体" w:hAnsi="宋体"/>
                      <w:kern w:val="0"/>
                      <w:sz w:val="18"/>
                      <w:szCs w:val="18"/>
                    </w:rPr>
                    <w:t>：天然气直接通过管道输送，场内没有储存，实际量取两个截断阀室之间管段危险物质最大存在总量。厂区内天然气管道总长</w:t>
                  </w:r>
                  <w:r>
                    <w:rPr>
                      <w:rFonts w:hint="eastAsia"/>
                      <w:kern w:val="0"/>
                      <w:sz w:val="18"/>
                      <w:szCs w:val="18"/>
                    </w:rPr>
                    <w:t>6</w:t>
                  </w:r>
                  <w:r>
                    <w:rPr>
                      <w:kern w:val="0"/>
                      <w:sz w:val="18"/>
                      <w:szCs w:val="18"/>
                    </w:rPr>
                    <w:t>0</w:t>
                  </w:r>
                  <w:r>
                    <w:rPr>
                      <w:rFonts w:ascii="宋体" w:hAnsi="宋体"/>
                      <w:kern w:val="0"/>
                      <w:sz w:val="18"/>
                      <w:szCs w:val="18"/>
                    </w:rPr>
                    <w:t>米，管道直径为</w:t>
                  </w:r>
                  <w:r>
                    <w:rPr>
                      <w:kern w:val="0"/>
                      <w:sz w:val="18"/>
                      <w:szCs w:val="18"/>
                    </w:rPr>
                    <w:t>0.</w:t>
                  </w:r>
                  <w:r>
                    <w:rPr>
                      <w:rFonts w:hint="eastAsia"/>
                      <w:kern w:val="0"/>
                      <w:sz w:val="18"/>
                      <w:szCs w:val="18"/>
                    </w:rPr>
                    <w:t>1</w:t>
                  </w:r>
                  <w:r>
                    <w:rPr>
                      <w:rFonts w:ascii="宋体" w:hAnsi="宋体"/>
                      <w:kern w:val="0"/>
                      <w:sz w:val="18"/>
                      <w:szCs w:val="18"/>
                    </w:rPr>
                    <w:t>米，天然气密度值取</w:t>
                  </w:r>
                  <w:r>
                    <w:rPr>
                      <w:kern w:val="0"/>
                      <w:sz w:val="18"/>
                      <w:szCs w:val="18"/>
                    </w:rPr>
                    <w:t>0.80kg/m</w:t>
                  </w:r>
                  <w:r>
                    <w:rPr>
                      <w:kern w:val="0"/>
                      <w:sz w:val="18"/>
                      <w:szCs w:val="18"/>
                      <w:vertAlign w:val="superscript"/>
                    </w:rPr>
                    <w:t>3</w:t>
                  </w:r>
                  <w:r>
                    <w:rPr>
                      <w:rFonts w:ascii="宋体" w:hAnsi="宋体"/>
                      <w:kern w:val="0"/>
                      <w:sz w:val="18"/>
                      <w:szCs w:val="18"/>
                    </w:rPr>
                    <w:t>。</w:t>
                  </w:r>
                </w:p>
              </w:tc>
            </w:tr>
          </w:tbl>
          <w:p>
            <w:pPr>
              <w:adjustRightInd w:val="0"/>
              <w:snapToGrid w:val="0"/>
              <w:spacing w:line="406" w:lineRule="exact"/>
              <w:ind w:left="-53" w:leftChars="-25" w:right="-53" w:rightChars="-25" w:firstLine="422" w:firstLineChars="200"/>
              <w:jc w:val="left"/>
              <w:rPr>
                <w:b/>
                <w:bCs/>
                <w:szCs w:val="21"/>
              </w:rPr>
            </w:pPr>
            <w:r>
              <w:rPr>
                <w:rFonts w:ascii="宋体" w:hAnsi="宋体"/>
                <w:b/>
                <w:bCs/>
              </w:rPr>
              <w:t>（</w:t>
            </w:r>
            <w:r>
              <w:rPr>
                <w:b/>
                <w:bCs/>
              </w:rPr>
              <w:t>2</w:t>
            </w:r>
            <w:r>
              <w:rPr>
                <w:rFonts w:ascii="宋体" w:hAnsi="宋体"/>
                <w:b/>
                <w:bCs/>
              </w:rPr>
              <w:t>）风险源识别</w:t>
            </w:r>
          </w:p>
          <w:p>
            <w:pPr>
              <w:adjustRightInd w:val="0"/>
              <w:snapToGrid w:val="0"/>
              <w:spacing w:line="406" w:lineRule="exact"/>
              <w:ind w:left="-53" w:leftChars="-25" w:right="-53" w:rightChars="-25" w:firstLine="420" w:firstLineChars="200"/>
              <w:jc w:val="left"/>
            </w:pPr>
            <w:r>
              <w:rPr>
                <w:rFonts w:hint="eastAsia" w:ascii="宋体" w:hAnsi="宋体" w:cs="宋体"/>
              </w:rPr>
              <w:t>①</w:t>
            </w:r>
            <w:r>
              <w:rPr>
                <w:rFonts w:ascii="宋体" w:hAnsi="宋体"/>
              </w:rPr>
              <w:t>物质危险性识别</w:t>
            </w:r>
          </w:p>
          <w:p>
            <w:pPr>
              <w:adjustRightInd w:val="0"/>
              <w:snapToGrid w:val="0"/>
              <w:spacing w:line="406" w:lineRule="exact"/>
              <w:ind w:left="-53" w:leftChars="-25" w:right="-53" w:rightChars="-25" w:firstLine="420" w:firstLineChars="200"/>
              <w:jc w:val="left"/>
            </w:pPr>
            <w:r>
              <w:rPr>
                <w:rFonts w:ascii="宋体" w:hAnsi="宋体"/>
              </w:rPr>
              <w:t>本项目运营过程中涉及风险物质主要为</w:t>
            </w:r>
            <w:r>
              <w:rPr>
                <w:rFonts w:hint="eastAsia" w:ascii="宋体" w:hAnsi="宋体"/>
              </w:rPr>
              <w:t>天然气</w:t>
            </w:r>
            <w:r>
              <w:rPr>
                <w:rFonts w:ascii="宋体" w:hAnsi="宋体"/>
              </w:rPr>
              <w:t>。</w:t>
            </w:r>
          </w:p>
          <w:p>
            <w:pPr>
              <w:autoSpaceDE w:val="0"/>
              <w:autoSpaceDN w:val="0"/>
              <w:adjustRightInd w:val="0"/>
              <w:snapToGrid w:val="0"/>
              <w:spacing w:line="320" w:lineRule="exact"/>
              <w:jc w:val="center"/>
              <w:rPr>
                <w:rFonts w:eastAsia="黑体"/>
                <w:kern w:val="0"/>
                <w:sz w:val="20"/>
                <w:szCs w:val="20"/>
              </w:rPr>
            </w:pPr>
            <w:r>
              <w:rPr>
                <w:rFonts w:ascii="黑体" w:hAnsi="黑体" w:eastAsia="黑体"/>
                <w:kern w:val="0"/>
                <w:sz w:val="20"/>
                <w:szCs w:val="20"/>
              </w:rPr>
              <w:t>表</w:t>
            </w:r>
            <w:r>
              <w:rPr>
                <w:rFonts w:hint="eastAsia" w:eastAsia="黑体"/>
                <w:kern w:val="0"/>
                <w:sz w:val="20"/>
                <w:szCs w:val="20"/>
              </w:rPr>
              <w:t>4-13</w:t>
            </w:r>
            <w:r>
              <w:rPr>
                <w:rFonts w:eastAsia="黑体"/>
                <w:kern w:val="0"/>
                <w:sz w:val="20"/>
                <w:szCs w:val="20"/>
              </w:rPr>
              <w:t xml:space="preserve">   </w:t>
            </w:r>
            <w:r>
              <w:rPr>
                <w:rFonts w:ascii="黑体" w:hAnsi="黑体" w:eastAsia="黑体"/>
                <w:kern w:val="0"/>
                <w:sz w:val="20"/>
                <w:szCs w:val="20"/>
              </w:rPr>
              <w:t>天然气主要危险特性及安全技术说明书</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590"/>
              <w:gridCol w:w="2368"/>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国际编号</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1971</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CAS</w:t>
                  </w:r>
                  <w:r>
                    <w:rPr>
                      <w:rFonts w:ascii="宋体" w:hAnsi="宋体"/>
                      <w:kern w:val="0"/>
                      <w:sz w:val="18"/>
                      <w:szCs w:val="18"/>
                    </w:rPr>
                    <w:t>号</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中文名称</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天然气、沼气</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英文名称</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Natural  gas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分子式</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外观与形状</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分子量</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沸点</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熔点</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-182.5℃</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稳定性</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密度</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相对密度（水</w:t>
                  </w:r>
                  <w:r>
                    <w:rPr>
                      <w:kern w:val="0"/>
                      <w:sz w:val="18"/>
                      <w:szCs w:val="18"/>
                    </w:rPr>
                    <w:t>=1</w:t>
                  </w:r>
                  <w:r>
                    <w:rPr>
                      <w:rFonts w:ascii="宋体" w:hAnsi="宋体"/>
                      <w:kern w:val="0"/>
                      <w:sz w:val="18"/>
                      <w:szCs w:val="18"/>
                    </w:rPr>
                    <w:t>）</w:t>
                  </w:r>
                  <w:r>
                    <w:rPr>
                      <w:kern w:val="0"/>
                      <w:sz w:val="18"/>
                      <w:szCs w:val="18"/>
                    </w:rPr>
                    <w:t>=0.45</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溶解性</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燃烧性</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易燃</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燃烧热值</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803kj/mol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爆炸极限</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5~14%</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最大爆炸压力</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0.717Mpa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危险标记</w:t>
                  </w:r>
                </w:p>
              </w:tc>
              <w:tc>
                <w:tcPr>
                  <w:tcW w:w="2590"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可燃气体</w:t>
                  </w:r>
                </w:p>
              </w:tc>
              <w:tc>
                <w:tcPr>
                  <w:tcW w:w="236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主要用途</w:t>
                  </w:r>
                </w:p>
              </w:tc>
              <w:tc>
                <w:tcPr>
                  <w:tcW w:w="206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锅炉燃料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健康危害</w:t>
                  </w:r>
                </w:p>
              </w:tc>
              <w:tc>
                <w:tcPr>
                  <w:tcW w:w="7025"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燃烧爆炸危险性</w:t>
                  </w:r>
                </w:p>
              </w:tc>
              <w:tc>
                <w:tcPr>
                  <w:tcW w:w="7025"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kern w:val="0"/>
                      <w:sz w:val="18"/>
                      <w:szCs w:val="18"/>
                    </w:rPr>
                  </w:pPr>
                  <w:r>
                    <w:rPr>
                      <w:rFonts w:ascii="宋体" w:hAnsi="宋体"/>
                      <w:kern w:val="0"/>
                      <w:sz w:val="18"/>
                      <w:szCs w:val="18"/>
                    </w:rPr>
                    <w:t>危险特性：易燃，与空气混合能形成爆炸性混合物，高热极易燃烧爆炸。与氟、氯等能发生剧烈的化学反应。其蒸汽遇明火会引着回燃。若遇高热，容器内压力增大，有开裂和爆炸的危险。</w:t>
                  </w:r>
                </w:p>
                <w:p>
                  <w:pPr>
                    <w:spacing w:line="280" w:lineRule="exact"/>
                    <w:ind w:left="-71" w:leftChars="-34" w:right="-71" w:rightChars="-34"/>
                    <w:rPr>
                      <w:kern w:val="0"/>
                      <w:sz w:val="18"/>
                      <w:szCs w:val="18"/>
                    </w:rPr>
                  </w:pPr>
                  <w:r>
                    <w:rPr>
                      <w:rFonts w:ascii="宋体" w:hAnsi="宋体"/>
                      <w:kern w:val="0"/>
                      <w:sz w:val="18"/>
                      <w:szCs w:val="18"/>
                    </w:rPr>
                    <w:t>灭火方法：切断气源。若不能立即切断气源，则不允许熄灭正在燃烧的气体，喷水冷却容器，可能的话将容器移至空旷处。雾状水、泡沫、二氧化碳灭火器。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对人体危害</w:t>
                  </w:r>
                </w:p>
              </w:tc>
              <w:tc>
                <w:tcPr>
                  <w:tcW w:w="7025"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kern w:val="0"/>
                      <w:sz w:val="18"/>
                      <w:szCs w:val="18"/>
                    </w:rPr>
                  </w:pPr>
                  <w:r>
                    <w:rPr>
                      <w:rFonts w:ascii="宋体" w:hAnsi="宋体"/>
                      <w:kern w:val="0"/>
                      <w:sz w:val="18"/>
                      <w:szCs w:val="18"/>
                    </w:rPr>
                    <w:t>甲烷对人基本无毒，但浓度过高时，使空气中氧含量明显降低，使人窒息中毒。急性中毒时，可有头昏、头痛、呕吐、乏力甚至昏迷。病程中尚可出现精神症状，步态不稳，昏迷过程久者，醒后可有运动性失语及偏瘫。长期接触天然气者，可出现神经衰弱综合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急救</w:t>
                  </w:r>
                </w:p>
              </w:tc>
              <w:tc>
                <w:tcPr>
                  <w:tcW w:w="7025"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kern w:val="0"/>
                      <w:sz w:val="18"/>
                      <w:szCs w:val="18"/>
                    </w:rPr>
                  </w:pPr>
                  <w:r>
                    <w:rPr>
                      <w:rFonts w:ascii="宋体" w:hAnsi="宋体"/>
                      <w:kern w:val="0"/>
                      <w:sz w:val="18"/>
                      <w:szCs w:val="18"/>
                    </w:rPr>
                    <w:t>吸入：脱离有毒环境，至空气新鲜处，给氧，对症治疗。注意防治脑水肿。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防护</w:t>
                  </w:r>
                </w:p>
              </w:tc>
              <w:tc>
                <w:tcPr>
                  <w:tcW w:w="7025"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kern w:val="0"/>
                      <w:sz w:val="18"/>
                      <w:szCs w:val="18"/>
                    </w:rPr>
                  </w:pPr>
                  <w:r>
                    <w:rPr>
                      <w:rFonts w:ascii="宋体" w:hAnsi="宋体"/>
                      <w:kern w:val="0"/>
                      <w:sz w:val="18"/>
                      <w:szCs w:val="18"/>
                    </w:rPr>
                    <w:t>工程控制：密闭操作，提供良好的自然通风条件。</w:t>
                  </w:r>
                </w:p>
                <w:p>
                  <w:pPr>
                    <w:spacing w:line="280" w:lineRule="exact"/>
                    <w:ind w:left="-71" w:leftChars="-34" w:right="-71" w:rightChars="-34"/>
                    <w:rPr>
                      <w:kern w:val="0"/>
                      <w:sz w:val="18"/>
                      <w:szCs w:val="18"/>
                    </w:rPr>
                  </w:pPr>
                  <w:r>
                    <w:rPr>
                      <w:rFonts w:ascii="宋体" w:hAnsi="宋体"/>
                      <w:kern w:val="0"/>
                      <w:sz w:val="18"/>
                      <w:szCs w:val="18"/>
                    </w:rPr>
                    <w:t>呼吸系统防护：高浓度环境中，佩戴供气式呼吸器。</w:t>
                  </w:r>
                </w:p>
                <w:p>
                  <w:pPr>
                    <w:spacing w:line="280" w:lineRule="exact"/>
                    <w:ind w:left="-71" w:leftChars="-34" w:right="-71" w:rightChars="-34"/>
                    <w:rPr>
                      <w:kern w:val="0"/>
                      <w:sz w:val="18"/>
                      <w:szCs w:val="18"/>
                    </w:rPr>
                  </w:pPr>
                  <w:r>
                    <w:rPr>
                      <w:rFonts w:ascii="宋体" w:hAnsi="宋体"/>
                      <w:kern w:val="0"/>
                      <w:sz w:val="18"/>
                      <w:szCs w:val="18"/>
                    </w:rPr>
                    <w:t>眼睛防护：一般不需要特殊防护，高浓度接触时可戴化学防护眼睛。</w:t>
                  </w:r>
                </w:p>
                <w:p>
                  <w:pPr>
                    <w:spacing w:line="280" w:lineRule="exact"/>
                    <w:ind w:left="-71" w:leftChars="-34" w:right="-71" w:rightChars="-34"/>
                    <w:rPr>
                      <w:kern w:val="0"/>
                      <w:sz w:val="18"/>
                      <w:szCs w:val="18"/>
                    </w:rPr>
                  </w:pPr>
                  <w:r>
                    <w:rPr>
                      <w:rFonts w:ascii="宋体" w:hAnsi="宋体"/>
                      <w:kern w:val="0"/>
                      <w:sz w:val="18"/>
                      <w:szCs w:val="18"/>
                    </w:rPr>
                    <w:t>其他：工作场所严禁吸烟。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ascii="宋体" w:hAnsi="宋体"/>
                      <w:kern w:val="0"/>
                      <w:sz w:val="18"/>
                      <w:szCs w:val="18"/>
                    </w:rPr>
                    <w:t>泄露处置</w:t>
                  </w:r>
                </w:p>
              </w:tc>
              <w:tc>
                <w:tcPr>
                  <w:tcW w:w="7025" w:type="dxa"/>
                  <w:gridSpan w:val="3"/>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kern w:val="0"/>
                      <w:sz w:val="18"/>
                      <w:szCs w:val="18"/>
                    </w:rPr>
                  </w:pPr>
                  <w:r>
                    <w:rPr>
                      <w:rFonts w:ascii="宋体" w:hAnsi="宋体"/>
                      <w:kern w:val="0"/>
                      <w:sz w:val="18"/>
                      <w:szCs w:val="18"/>
                    </w:rPr>
                    <w:t>切断火源。戴自给式呼吸器，穿一般防护服；合理通风，禁止泄露进入受限空间，以避免发生爆炸；切断气源，喷洒雾状水稀释，抽排空气（室内）或强力通风（室外）。</w:t>
                  </w:r>
                </w:p>
              </w:tc>
            </w:tr>
          </w:tbl>
          <w:p>
            <w:pPr>
              <w:adjustRightInd w:val="0"/>
              <w:snapToGrid w:val="0"/>
              <w:spacing w:line="406" w:lineRule="exact"/>
              <w:ind w:left="-53" w:leftChars="-25" w:right="-53" w:rightChars="-25" w:firstLine="420" w:firstLineChars="200"/>
              <w:jc w:val="left"/>
              <w:rPr>
                <w:szCs w:val="21"/>
              </w:rPr>
            </w:pPr>
            <w:r>
              <w:rPr>
                <w:rFonts w:hint="eastAsia" w:ascii="宋体" w:hAnsi="宋体"/>
              </w:rPr>
              <w:t>②</w:t>
            </w:r>
            <w:r>
              <w:rPr>
                <w:rFonts w:ascii="宋体" w:hAnsi="宋体"/>
              </w:rPr>
              <w:t>物质危险性识别</w:t>
            </w:r>
          </w:p>
          <w:p>
            <w:pPr>
              <w:adjustRightInd w:val="0"/>
              <w:snapToGrid w:val="0"/>
              <w:spacing w:line="406" w:lineRule="exact"/>
              <w:ind w:left="-53" w:leftChars="-25" w:right="-53" w:rightChars="-25" w:firstLine="420" w:firstLineChars="200"/>
              <w:jc w:val="left"/>
            </w:pPr>
            <w:r>
              <w:rPr>
                <w:rFonts w:ascii="宋体" w:hAnsi="宋体"/>
              </w:rPr>
              <w:t>本项目为新建燃气锅炉，生产原料为锅炉软化水、产生的产品为高温蒸汽，因此生产系统不涉及风险源。</w:t>
            </w:r>
          </w:p>
          <w:p>
            <w:pPr>
              <w:adjustRightInd w:val="0"/>
              <w:snapToGrid w:val="0"/>
              <w:spacing w:line="406" w:lineRule="exact"/>
              <w:ind w:left="-53" w:leftChars="-25" w:right="-53" w:rightChars="-25" w:firstLine="422" w:firstLineChars="200"/>
              <w:jc w:val="left"/>
              <w:rPr>
                <w:b/>
                <w:bCs/>
              </w:rPr>
            </w:pPr>
            <w:r>
              <w:rPr>
                <w:rFonts w:ascii="宋体" w:hAnsi="宋体"/>
                <w:b/>
                <w:bCs/>
              </w:rPr>
              <w:t>（</w:t>
            </w:r>
            <w:r>
              <w:rPr>
                <w:b/>
                <w:bCs/>
              </w:rPr>
              <w:t>3</w:t>
            </w:r>
            <w:r>
              <w:rPr>
                <w:rFonts w:ascii="宋体" w:hAnsi="宋体"/>
                <w:b/>
                <w:bCs/>
              </w:rPr>
              <w:t>）可能影响途径</w:t>
            </w:r>
          </w:p>
          <w:p>
            <w:pPr>
              <w:adjustRightInd w:val="0"/>
              <w:snapToGrid w:val="0"/>
              <w:spacing w:line="406" w:lineRule="exact"/>
              <w:ind w:left="-53" w:leftChars="-25" w:right="-53" w:rightChars="-25" w:firstLine="420" w:firstLineChars="200"/>
              <w:jc w:val="left"/>
            </w:pPr>
            <w:r>
              <w:rPr>
                <w:rFonts w:ascii="宋体" w:hAnsi="宋体"/>
              </w:rPr>
              <w:t>本项目危险物质环境风险主要在于天然气输送管道老化、连接处密封不严，在输气过程中容易发生</w:t>
            </w:r>
            <w:r>
              <w:rPr>
                <w:rFonts w:hint="eastAsia" w:ascii="宋体" w:hAnsi="宋体"/>
                <w:lang w:eastAsia="zh-CN"/>
              </w:rPr>
              <w:t>天然气泄漏</w:t>
            </w:r>
            <w:r>
              <w:rPr>
                <w:rFonts w:ascii="宋体" w:hAnsi="宋体"/>
              </w:rPr>
              <w:t>。</w:t>
            </w:r>
          </w:p>
          <w:p>
            <w:pPr>
              <w:adjustRightInd w:val="0"/>
              <w:snapToGrid w:val="0"/>
              <w:spacing w:line="406" w:lineRule="exact"/>
              <w:ind w:left="-53" w:leftChars="-25" w:right="-53" w:rightChars="-25" w:firstLine="422" w:firstLineChars="200"/>
              <w:jc w:val="left"/>
              <w:rPr>
                <w:b/>
                <w:bCs/>
              </w:rPr>
            </w:pPr>
            <w:r>
              <w:rPr>
                <w:rFonts w:ascii="宋体" w:hAnsi="宋体"/>
                <w:b/>
                <w:bCs/>
              </w:rPr>
              <w:t>（</w:t>
            </w:r>
            <w:r>
              <w:rPr>
                <w:b/>
                <w:bCs/>
              </w:rPr>
              <w:t>4</w:t>
            </w:r>
            <w:r>
              <w:rPr>
                <w:rFonts w:ascii="宋体" w:hAnsi="宋体"/>
                <w:b/>
                <w:bCs/>
              </w:rPr>
              <w:t>）环境风险防范措施</w:t>
            </w:r>
          </w:p>
          <w:p>
            <w:pPr>
              <w:adjustRightInd w:val="0"/>
              <w:snapToGrid w:val="0"/>
              <w:spacing w:line="404" w:lineRule="exact"/>
              <w:ind w:left="-53" w:leftChars="-25" w:right="-53" w:rightChars="-25" w:firstLine="420" w:firstLineChars="200"/>
              <w:jc w:val="left"/>
            </w:pPr>
            <w:r>
              <w:rPr>
                <w:rFonts w:ascii="宋体" w:hAnsi="宋体"/>
              </w:rPr>
              <w:t>针对天然气泄漏可能发生中毒和火灾的环境风险，可通过加强管理，严格按操作规程进行环境风险防范，具体防范措施如下：</w:t>
            </w:r>
          </w:p>
          <w:p>
            <w:pPr>
              <w:adjustRightInd w:val="0"/>
              <w:snapToGrid w:val="0"/>
              <w:spacing w:line="404" w:lineRule="exact"/>
              <w:ind w:left="-53" w:leftChars="-25" w:right="-53" w:rightChars="-25" w:firstLine="420" w:firstLineChars="200"/>
              <w:jc w:val="left"/>
            </w:pPr>
            <w:r>
              <w:rPr>
                <w:rFonts w:hint="eastAsia" w:ascii="宋体" w:hAnsi="宋体" w:cs="宋体"/>
              </w:rPr>
              <w:t>①</w:t>
            </w:r>
            <w:r>
              <w:rPr>
                <w:rFonts w:ascii="宋体" w:hAnsi="宋体"/>
              </w:rPr>
              <w:t>天然气输送管道设计、施工、运行、管理、检验、修理等应严格按照《城镇燃气设计规范》（</w:t>
            </w:r>
            <w:r>
              <w:t>GB50028-2006</w:t>
            </w:r>
            <w:r>
              <w:rPr>
                <w:rFonts w:ascii="宋体" w:hAnsi="宋体"/>
              </w:rPr>
              <w:t>）、《建筑设计防火规范》（</w:t>
            </w:r>
            <w:r>
              <w:t>GB50016-2006</w:t>
            </w:r>
            <w:r>
              <w:rPr>
                <w:rFonts w:ascii="宋体" w:hAnsi="宋体"/>
              </w:rPr>
              <w:t>）中的要求执行。</w:t>
            </w:r>
          </w:p>
          <w:p>
            <w:pPr>
              <w:adjustRightInd w:val="0"/>
              <w:snapToGrid w:val="0"/>
              <w:spacing w:line="404" w:lineRule="exact"/>
              <w:ind w:left="-53" w:leftChars="-25" w:right="-53" w:rightChars="-25" w:firstLine="420" w:firstLineChars="200"/>
              <w:jc w:val="left"/>
            </w:pPr>
            <w:r>
              <w:rPr>
                <w:rFonts w:hint="eastAsia" w:ascii="宋体" w:hAnsi="宋体" w:cs="宋体"/>
              </w:rPr>
              <w:t>②</w:t>
            </w:r>
            <w:r>
              <w:rPr>
                <w:rFonts w:ascii="宋体" w:hAnsi="宋体"/>
              </w:rPr>
              <w:t>按照相关规定对燃气管道进行维修、保养、更换易损及老化部件，加强自动控制系统的管理和控制，严格控制压力平衡，防止事故发生。</w:t>
            </w:r>
          </w:p>
          <w:p>
            <w:pPr>
              <w:adjustRightInd w:val="0"/>
              <w:snapToGrid w:val="0"/>
              <w:spacing w:line="404" w:lineRule="exact"/>
              <w:ind w:left="-53" w:leftChars="-25" w:right="-53" w:rightChars="-25" w:firstLine="420" w:firstLineChars="200"/>
              <w:jc w:val="left"/>
            </w:pPr>
            <w:r>
              <w:rPr>
                <w:rFonts w:hint="eastAsia" w:ascii="宋体" w:hAnsi="宋体" w:cs="宋体"/>
              </w:rPr>
              <w:t>③</w:t>
            </w:r>
            <w:r>
              <w:rPr>
                <w:rFonts w:ascii="宋体" w:hAnsi="宋体"/>
              </w:rPr>
              <w:t>燃气进口管道设低压报警、自动切断和充气、吹扫装置，并设置防止气体串入蒸汽管道的控制措施。</w:t>
            </w:r>
          </w:p>
          <w:p>
            <w:pPr>
              <w:adjustRightInd w:val="0"/>
              <w:snapToGrid w:val="0"/>
              <w:spacing w:line="404" w:lineRule="exact"/>
              <w:ind w:left="-53" w:leftChars="-25" w:right="-53" w:rightChars="-25" w:firstLine="420" w:firstLineChars="200"/>
              <w:jc w:val="left"/>
            </w:pPr>
            <w:r>
              <w:rPr>
                <w:rFonts w:hint="eastAsia" w:ascii="宋体" w:hAnsi="宋体" w:cs="宋体"/>
              </w:rPr>
              <w:t>④</w:t>
            </w:r>
            <w:r>
              <w:rPr>
                <w:rFonts w:ascii="宋体" w:hAnsi="宋体"/>
              </w:rPr>
              <w:t>燃气锅炉炉体、燃气管道的钢结构件，要求能承受系统中可能出现的最高气体压力，以防爆炸。</w:t>
            </w:r>
          </w:p>
          <w:p>
            <w:pPr>
              <w:adjustRightInd w:val="0"/>
              <w:snapToGrid w:val="0"/>
              <w:spacing w:line="404" w:lineRule="exact"/>
              <w:ind w:left="-53" w:leftChars="-25" w:right="-53" w:rightChars="-25" w:firstLine="420" w:firstLineChars="200"/>
              <w:jc w:val="left"/>
            </w:pPr>
            <w:r>
              <w:rPr>
                <w:rFonts w:hint="eastAsia" w:ascii="宋体" w:hAnsi="宋体" w:cs="宋体"/>
              </w:rPr>
              <w:t>⑤</w:t>
            </w:r>
            <w:r>
              <w:rPr>
                <w:rFonts w:ascii="宋体" w:hAnsi="宋体"/>
              </w:rPr>
              <w:t>加强防火安全管理，杜绝明火，凡进入锅炉用房的人员一律严禁带火种，在锅炉用房内需动用电焊、气焊作业时，严格执行动火作业审批程序，采取必要的预防措施，锅炉用房内禁止堆放易燃物品和杂物。</w:t>
            </w:r>
          </w:p>
          <w:p>
            <w:pPr>
              <w:adjustRightInd w:val="0"/>
              <w:snapToGrid w:val="0"/>
              <w:spacing w:line="404" w:lineRule="exact"/>
              <w:ind w:left="-53" w:leftChars="-25" w:right="-53" w:rightChars="-25" w:firstLine="420" w:firstLineChars="200"/>
              <w:jc w:val="left"/>
            </w:pPr>
            <w:r>
              <w:rPr>
                <w:rFonts w:hint="eastAsia" w:ascii="宋体" w:hAnsi="宋体" w:cs="宋体"/>
              </w:rPr>
              <w:t>⑥</w:t>
            </w:r>
            <w:r>
              <w:rPr>
                <w:rFonts w:ascii="宋体" w:hAnsi="宋体"/>
              </w:rPr>
              <w:t>天然气中毒急救措施：发生煤气中毒时将中毒者抬到空气新鲜流通的安全区，注意保暖，轻度中毒，如出现头痛、恶心、呕吐等症状，可就近送医院护理</w:t>
            </w:r>
            <w:r>
              <w:t>;</w:t>
            </w:r>
            <w:r>
              <w:rPr>
                <w:rFonts w:ascii="宋体" w:hAnsi="宋体"/>
              </w:rPr>
              <w:t>重度中毒者，应立即进行人工呼吸，并通知救护人员和医生到现场抢救。</w:t>
            </w:r>
          </w:p>
          <w:p>
            <w:pPr>
              <w:adjustRightInd w:val="0"/>
              <w:snapToGrid w:val="0"/>
              <w:spacing w:line="404" w:lineRule="exact"/>
              <w:ind w:left="-53" w:leftChars="-25" w:right="-53" w:rightChars="-25" w:firstLine="422" w:firstLineChars="200"/>
              <w:jc w:val="left"/>
              <w:rPr>
                <w:b/>
                <w:bCs/>
              </w:rPr>
            </w:pPr>
            <w:bookmarkStart w:id="6" w:name="_Toc384809503"/>
            <w:bookmarkEnd w:id="6"/>
            <w:bookmarkStart w:id="7" w:name="_Toc269240996"/>
            <w:bookmarkEnd w:id="7"/>
            <w:bookmarkStart w:id="8" w:name="_Toc421737145"/>
            <w:bookmarkEnd w:id="8"/>
            <w:bookmarkStart w:id="9" w:name="_Toc172942746"/>
            <w:r>
              <w:rPr>
                <w:rFonts w:ascii="宋体" w:hAnsi="宋体"/>
                <w:b/>
                <w:bCs/>
              </w:rPr>
              <w:t>（</w:t>
            </w:r>
            <w:bookmarkEnd w:id="9"/>
            <w:r>
              <w:rPr>
                <w:rFonts w:hint="eastAsia"/>
                <w:b/>
                <w:bCs/>
              </w:rPr>
              <w:t>5</w:t>
            </w:r>
            <w:r>
              <w:rPr>
                <w:rFonts w:ascii="宋体" w:hAnsi="宋体"/>
                <w:b/>
                <w:bCs/>
              </w:rPr>
              <w:t>）环境风险应急要求</w:t>
            </w:r>
          </w:p>
          <w:p>
            <w:pPr>
              <w:adjustRightInd w:val="0"/>
              <w:snapToGrid w:val="0"/>
              <w:spacing w:line="404" w:lineRule="exact"/>
              <w:ind w:left="-53" w:leftChars="-25" w:right="-53" w:rightChars="-25" w:firstLine="420" w:firstLineChars="200"/>
              <w:jc w:val="left"/>
            </w:pPr>
            <w:r>
              <w:rPr>
                <w:rFonts w:ascii="宋体" w:hAnsi="宋体"/>
              </w:rPr>
              <w:t>为能在事故发生后，迅速准确，有条不紊地处理事故，尽可能减少事故造成的损失，平时必须做好应急救援的准备工作落实岗位责任制和各项制度。具体措施有：</w:t>
            </w:r>
          </w:p>
          <w:p>
            <w:pPr>
              <w:adjustRightInd w:val="0"/>
              <w:snapToGrid w:val="0"/>
              <w:spacing w:line="404" w:lineRule="exact"/>
              <w:ind w:left="-53" w:leftChars="-25" w:right="-53" w:rightChars="-25" w:firstLine="420" w:firstLineChars="200"/>
              <w:jc w:val="left"/>
            </w:pPr>
            <w:r>
              <w:rPr>
                <w:rFonts w:hint="eastAsia" w:ascii="宋体" w:hAnsi="宋体" w:cs="宋体"/>
              </w:rPr>
              <w:t>①</w:t>
            </w:r>
            <w:r>
              <w:rPr>
                <w:rFonts w:ascii="宋体" w:hAnsi="宋体"/>
              </w:rPr>
              <w:t>落实应急救援组织，救援指挥部成员和救援人员应按专业分工本着专业对口便于领导，便于集结和开展救援的原则，建立组织。落实人员，每年初要根据人员的变化进行组织调整，确保救援组织的落实。</w:t>
            </w:r>
          </w:p>
          <w:p>
            <w:pPr>
              <w:adjustRightInd w:val="0"/>
              <w:snapToGrid w:val="0"/>
              <w:spacing w:line="404" w:lineRule="exact"/>
              <w:ind w:left="-53" w:leftChars="-25" w:right="-53" w:rightChars="-25" w:firstLine="420" w:firstLineChars="200"/>
              <w:jc w:val="left"/>
            </w:pPr>
            <w:r>
              <w:rPr>
                <w:rFonts w:hint="eastAsia" w:ascii="宋体" w:hAnsi="宋体" w:cs="宋体"/>
              </w:rPr>
              <w:t>②</w:t>
            </w:r>
            <w:r>
              <w:rPr>
                <w:rFonts w:ascii="宋体" w:hAnsi="宋体"/>
              </w:rPr>
              <w:t>按照任务分工做好物资器材准备。如：必要的指挥通讯、报警、洗消、抢修等器材及交通工具。上述各种器材应指定专人保管，并定期检查保养使其经常处于良好状态，各重点目标设救援器材柜，专人保管以备急用。</w:t>
            </w:r>
          </w:p>
          <w:p>
            <w:pPr>
              <w:adjustRightInd w:val="0"/>
              <w:snapToGrid w:val="0"/>
              <w:spacing w:line="404" w:lineRule="exact"/>
              <w:ind w:left="-53" w:leftChars="-25" w:right="-53" w:rightChars="-25" w:firstLine="420" w:firstLineChars="200"/>
              <w:jc w:val="left"/>
            </w:pPr>
            <w:r>
              <w:rPr>
                <w:rFonts w:hint="eastAsia" w:ascii="宋体" w:hAnsi="宋体" w:cs="宋体"/>
              </w:rPr>
              <w:t>③</w:t>
            </w:r>
            <w:r>
              <w:rPr>
                <w:rFonts w:ascii="宋体" w:hAnsi="宋体"/>
              </w:rPr>
              <w:t>定期组织救援训练和演习，各队按专业分工每年训练一次。结合本厂实际每年组织一次综合性应急救援演习，提高指挥水平和救援能力。对职工进行火灾事故救援常识教育。</w:t>
            </w:r>
          </w:p>
          <w:p>
            <w:pPr>
              <w:adjustRightInd w:val="0"/>
              <w:snapToGrid w:val="0"/>
              <w:spacing w:line="404" w:lineRule="exact"/>
              <w:ind w:left="-53" w:leftChars="-25" w:right="-53" w:rightChars="-25" w:firstLine="420" w:firstLineChars="200"/>
              <w:jc w:val="left"/>
            </w:pPr>
            <w:r>
              <w:rPr>
                <w:rFonts w:hint="eastAsia" w:ascii="宋体" w:hAnsi="宋体" w:cs="宋体"/>
              </w:rPr>
              <w:t>④</w:t>
            </w:r>
            <w:r>
              <w:rPr>
                <w:rFonts w:ascii="宋体" w:hAnsi="宋体"/>
              </w:rPr>
              <w:t>按照《国家突发环境事件应急预案》（国办函〔</w:t>
            </w:r>
            <w:r>
              <w:t>2014</w:t>
            </w:r>
            <w:r>
              <w:rPr>
                <w:rFonts w:ascii="宋体" w:hAnsi="宋体"/>
              </w:rPr>
              <w:t>〕</w:t>
            </w:r>
            <w:r>
              <w:t>119</w:t>
            </w:r>
            <w:r>
              <w:rPr>
                <w:rFonts w:ascii="宋体" w:hAnsi="宋体"/>
              </w:rPr>
              <w:t>号）、地方和相关部门的要求，制定符合项目实际需要的应急预案，一旦发生事故，迅速采取有效处理措施进行抢险修复，最大限度降低对周围环境和人民生命财产的危害。</w:t>
            </w:r>
          </w:p>
          <w:p>
            <w:pPr>
              <w:autoSpaceDE w:val="0"/>
              <w:autoSpaceDN w:val="0"/>
              <w:adjustRightInd w:val="0"/>
              <w:spacing w:line="404" w:lineRule="exact"/>
              <w:ind w:firstLine="422" w:firstLineChars="200"/>
              <w:rPr>
                <w:rFonts w:eastAsia="黑体"/>
                <w:b/>
                <w:bCs/>
                <w:kern w:val="0"/>
              </w:rPr>
            </w:pPr>
            <w:r>
              <w:rPr>
                <w:rFonts w:ascii="宋体" w:hAnsi="宋体"/>
                <w:b/>
                <w:bCs/>
                <w:kern w:val="0"/>
              </w:rPr>
              <w:t>（</w:t>
            </w:r>
            <w:r>
              <w:rPr>
                <w:rFonts w:hint="eastAsia"/>
                <w:b/>
                <w:bCs/>
                <w:kern w:val="0"/>
              </w:rPr>
              <w:t>6</w:t>
            </w:r>
            <w:r>
              <w:rPr>
                <w:rFonts w:ascii="宋体" w:hAnsi="宋体"/>
                <w:b/>
                <w:bCs/>
                <w:kern w:val="0"/>
              </w:rPr>
              <w:t>）环境风险评价结论</w:t>
            </w:r>
          </w:p>
          <w:p>
            <w:pPr>
              <w:autoSpaceDE w:val="0"/>
              <w:autoSpaceDN w:val="0"/>
              <w:adjustRightInd w:val="0"/>
              <w:spacing w:line="400" w:lineRule="exact"/>
              <w:ind w:firstLine="420" w:firstLineChars="200"/>
              <w:rPr>
                <w:kern w:val="0"/>
              </w:rPr>
            </w:pPr>
            <w:r>
              <w:rPr>
                <w:kern w:val="0"/>
              </w:rPr>
              <w:t>本项目风险源主要为</w:t>
            </w:r>
            <w:r>
              <w:rPr>
                <w:rFonts w:hint="eastAsia"/>
                <w:kern w:val="0"/>
              </w:rPr>
              <w:t>天然气</w:t>
            </w:r>
            <w:r>
              <w:rPr>
                <w:kern w:val="0"/>
              </w:rPr>
              <w:t>。通过采取相应的风险防范措施，环境风险是可控的。因此，从环境风险角度分析本项目建设可行。</w:t>
            </w:r>
          </w:p>
          <w:p>
            <w:pPr>
              <w:adjustRightInd w:val="0"/>
              <w:snapToGrid w:val="0"/>
              <w:spacing w:line="400" w:lineRule="exact"/>
              <w:ind w:left="-53" w:leftChars="-25" w:right="-53" w:rightChars="-25"/>
              <w:jc w:val="left"/>
              <w:rPr>
                <w:rFonts w:eastAsia="黑体"/>
                <w:bCs/>
                <w:sz w:val="22"/>
                <w:szCs w:val="22"/>
              </w:rPr>
            </w:pPr>
            <w:r>
              <w:rPr>
                <w:rFonts w:hint="eastAsia" w:eastAsia="黑体" w:cs="黑体"/>
                <w:bCs/>
                <w:sz w:val="22"/>
                <w:szCs w:val="22"/>
              </w:rPr>
              <w:t>7、工程项目环保投资估算</w:t>
            </w:r>
          </w:p>
          <w:p>
            <w:pPr>
              <w:autoSpaceDE w:val="0"/>
              <w:autoSpaceDN w:val="0"/>
              <w:adjustRightInd w:val="0"/>
              <w:spacing w:line="400" w:lineRule="exact"/>
              <w:ind w:firstLine="420" w:firstLineChars="200"/>
              <w:rPr>
                <w:kern w:val="0"/>
              </w:rPr>
            </w:pPr>
            <w:r>
              <w:rPr>
                <w:rFonts w:hint="eastAsia"/>
                <w:kern w:val="0"/>
              </w:rPr>
              <w:t>本项目总投资为50.00万元，根据环保治理措施估算，环保投资为10.50万元，占总投资的21.00</w:t>
            </w:r>
            <w:r>
              <w:rPr>
                <w:kern w:val="0"/>
              </w:rPr>
              <w:t>%</w:t>
            </w:r>
            <w:r>
              <w:rPr>
                <w:rFonts w:hint="eastAsia"/>
                <w:kern w:val="0"/>
              </w:rPr>
              <w:t>。处理措施和处理效果从总体上看，能满足环保要求，可有效降低由于工程的建设所带来的环境污染和生态影响，经济合理、技术可行。</w:t>
            </w:r>
          </w:p>
          <w:p>
            <w:pPr>
              <w:autoSpaceDE w:val="0"/>
              <w:autoSpaceDN w:val="0"/>
              <w:adjustRightInd w:val="0"/>
              <w:spacing w:line="400" w:lineRule="exact"/>
              <w:ind w:firstLine="420" w:firstLineChars="200"/>
              <w:rPr>
                <w:rFonts w:ascii="黑体" w:hAnsi="宋体" w:eastAsia="黑体" w:cs="黑体"/>
                <w:sz w:val="18"/>
                <w:szCs w:val="18"/>
              </w:rPr>
            </w:pPr>
            <w:r>
              <w:rPr>
                <w:rFonts w:hint="eastAsia"/>
                <w:kern w:val="0"/>
              </w:rPr>
              <w:t>本项目的环保投资估算见下表。</w:t>
            </w:r>
          </w:p>
          <w:p>
            <w:pPr>
              <w:spacing w:line="400" w:lineRule="exact"/>
              <w:ind w:left="-53" w:leftChars="-25" w:right="-53" w:rightChars="-25"/>
              <w:jc w:val="center"/>
              <w:rPr>
                <w:rFonts w:eastAsia="黑体"/>
                <w:sz w:val="18"/>
                <w:szCs w:val="18"/>
              </w:rPr>
            </w:pPr>
            <w:r>
              <w:rPr>
                <w:rFonts w:hint="eastAsia" w:ascii="黑体" w:hAnsi="宋体" w:eastAsia="黑体" w:cs="黑体"/>
                <w:sz w:val="18"/>
                <w:szCs w:val="18"/>
              </w:rPr>
              <w:t>表4-8   环保投资估算一览表</w:t>
            </w:r>
          </w:p>
          <w:tbl>
            <w:tblPr>
              <w:tblStyle w:val="21"/>
              <w:tblW w:w="8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5086"/>
              <w:gridCol w:w="850"/>
              <w:gridCol w:w="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b/>
                      <w:bCs/>
                      <w:sz w:val="18"/>
                      <w:szCs w:val="18"/>
                    </w:rPr>
                  </w:pPr>
                  <w:r>
                    <w:rPr>
                      <w:rFonts w:ascii="宋体" w:hAnsi="宋体"/>
                      <w:b/>
                      <w:bCs/>
                      <w:sz w:val="18"/>
                      <w:szCs w:val="18"/>
                    </w:rPr>
                    <w:t>项目</w:t>
                  </w:r>
                </w:p>
              </w:tc>
              <w:tc>
                <w:tcPr>
                  <w:tcW w:w="5086"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b/>
                      <w:bCs/>
                      <w:sz w:val="18"/>
                      <w:szCs w:val="18"/>
                    </w:rPr>
                  </w:pPr>
                  <w:r>
                    <w:rPr>
                      <w:rFonts w:ascii="宋体" w:hAnsi="宋体"/>
                      <w:b/>
                      <w:bCs/>
                      <w:sz w:val="18"/>
                      <w:szCs w:val="18"/>
                    </w:rPr>
                    <w:t>环保设施（措施）内容</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b/>
                      <w:bCs/>
                      <w:sz w:val="18"/>
                      <w:szCs w:val="18"/>
                    </w:rPr>
                  </w:pPr>
                  <w:r>
                    <w:rPr>
                      <w:rFonts w:ascii="宋体" w:hAnsi="宋体"/>
                      <w:b/>
                      <w:bCs/>
                      <w:sz w:val="18"/>
                      <w:szCs w:val="18"/>
                    </w:rPr>
                    <w:t>投资</w:t>
                  </w:r>
                  <w:r>
                    <w:rPr>
                      <w:rFonts w:hint="eastAsia" w:ascii="宋体" w:hAnsi="宋体"/>
                      <w:b/>
                      <w:bCs/>
                      <w:sz w:val="18"/>
                      <w:szCs w:val="18"/>
                    </w:rPr>
                    <w:t>（</w:t>
                  </w:r>
                  <w:r>
                    <w:rPr>
                      <w:rFonts w:ascii="宋体" w:hAnsi="宋体"/>
                      <w:b/>
                      <w:bCs/>
                      <w:sz w:val="18"/>
                      <w:szCs w:val="18"/>
                    </w:rPr>
                    <w:t>万元</w:t>
                  </w:r>
                  <w:r>
                    <w:rPr>
                      <w:rFonts w:hint="eastAsia" w:ascii="宋体" w:hAnsi="宋体"/>
                      <w:b/>
                      <w:bCs/>
                      <w:sz w:val="18"/>
                      <w:szCs w:val="18"/>
                    </w:rPr>
                    <w:t>）</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b/>
                      <w:bCs/>
                      <w:sz w:val="18"/>
                      <w:szCs w:val="18"/>
                    </w:rPr>
                  </w:pPr>
                  <w:r>
                    <w:rPr>
                      <w:rFonts w:ascii="宋体" w:hAnsi="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bookmarkStart w:id="10" w:name="_Hlk458068448"/>
                  <w:r>
                    <w:rPr>
                      <w:rFonts w:ascii="宋体" w:hAnsi="宋体"/>
                      <w:sz w:val="18"/>
                      <w:szCs w:val="18"/>
                    </w:rPr>
                    <w:t>废气防治措施</w:t>
                  </w:r>
                  <w:bookmarkEnd w:id="10"/>
                </w:p>
              </w:tc>
              <w:tc>
                <w:tcPr>
                  <w:tcW w:w="5086"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rPr>
                      <w:sz w:val="18"/>
                      <w:szCs w:val="18"/>
                    </w:rPr>
                  </w:pPr>
                  <w:r>
                    <w:rPr>
                      <w:rFonts w:ascii="宋体" w:hAnsi="宋体"/>
                      <w:kern w:val="0"/>
                      <w:sz w:val="18"/>
                      <w:szCs w:val="18"/>
                    </w:rPr>
                    <w:t>采用天然气作为燃料，</w:t>
                  </w:r>
                  <w:r>
                    <w:rPr>
                      <w:rFonts w:hint="eastAsia"/>
                      <w:sz w:val="18"/>
                      <w:szCs w:val="18"/>
                    </w:rPr>
                    <w:t>CZI</w:t>
                  </w:r>
                  <w:r>
                    <w:rPr>
                      <w:rFonts w:hint="eastAsia" w:ascii="宋体" w:hAnsi="宋体"/>
                      <w:sz w:val="18"/>
                      <w:szCs w:val="18"/>
                    </w:rPr>
                    <w:t>贯流式锅炉炉体配置低氮燃烧器，燃烧废气经</w:t>
                  </w:r>
                  <w:r>
                    <w:rPr>
                      <w:rFonts w:hint="eastAsia"/>
                      <w:sz w:val="18"/>
                      <w:szCs w:val="18"/>
                    </w:rPr>
                    <w:t>12m</w:t>
                  </w:r>
                  <w:r>
                    <w:rPr>
                      <w:rFonts w:hint="eastAsia" w:ascii="宋体" w:hAnsi="宋体"/>
                      <w:sz w:val="18"/>
                      <w:szCs w:val="18"/>
                    </w:rPr>
                    <w:t>高排气筒排放</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8.0</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ascii="宋体" w:hAnsi="宋体"/>
                      <w:sz w:val="18"/>
                      <w:szCs w:val="18"/>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ascii="宋体" w:hAnsi="宋体"/>
                      <w:sz w:val="18"/>
                      <w:szCs w:val="18"/>
                    </w:rPr>
                    <w:t>废水治理</w:t>
                  </w:r>
                </w:p>
              </w:tc>
              <w:tc>
                <w:tcPr>
                  <w:tcW w:w="5086"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rPr>
                      <w:sz w:val="18"/>
                      <w:szCs w:val="18"/>
                    </w:rPr>
                  </w:pPr>
                  <w:r>
                    <w:rPr>
                      <w:rFonts w:hint="eastAsia" w:ascii="宋体" w:hAnsi="宋体"/>
                      <w:sz w:val="18"/>
                      <w:szCs w:val="18"/>
                    </w:rPr>
                    <w:t>软水制备、锅炉排污、离子交换树脂再生等产生的生产废水，利用洗涤废水处理池沉淀处理后，随洗涤废水一同经自建污水管网排入东岳场镇污水管网，最终进入东岳场镇污水处理厂</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0.5</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ascii="宋体" w:hAnsi="宋体"/>
                      <w:sz w:val="18"/>
                      <w:szCs w:val="18"/>
                    </w:rPr>
                    <w:t>噪声防治措施</w:t>
                  </w:r>
                </w:p>
              </w:tc>
              <w:tc>
                <w:tcPr>
                  <w:tcW w:w="5086"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rPr>
                      <w:sz w:val="18"/>
                      <w:szCs w:val="18"/>
                    </w:rPr>
                  </w:pPr>
                  <w:r>
                    <w:rPr>
                      <w:rFonts w:ascii="宋体" w:hAnsi="宋体"/>
                      <w:sz w:val="18"/>
                      <w:szCs w:val="18"/>
                    </w:rPr>
                    <w:t>锅炉</w:t>
                  </w:r>
                  <w:r>
                    <w:rPr>
                      <w:rFonts w:hint="eastAsia" w:ascii="宋体" w:hAnsi="宋体"/>
                      <w:sz w:val="18"/>
                      <w:szCs w:val="18"/>
                    </w:rPr>
                    <w:t>建设在</w:t>
                  </w:r>
                  <w:r>
                    <w:rPr>
                      <w:rFonts w:ascii="宋体" w:hAnsi="宋体"/>
                      <w:sz w:val="18"/>
                      <w:szCs w:val="18"/>
                    </w:rPr>
                    <w:t>专用</w:t>
                  </w:r>
                  <w:r>
                    <w:rPr>
                      <w:rFonts w:hint="eastAsia" w:ascii="宋体" w:hAnsi="宋体"/>
                      <w:sz w:val="18"/>
                      <w:szCs w:val="18"/>
                    </w:rPr>
                    <w:t>锅炉</w:t>
                  </w:r>
                  <w:r>
                    <w:rPr>
                      <w:rFonts w:ascii="宋体" w:hAnsi="宋体"/>
                      <w:sz w:val="18"/>
                      <w:szCs w:val="18"/>
                    </w:rPr>
                    <w:t>房</w:t>
                  </w:r>
                  <w:r>
                    <w:rPr>
                      <w:rFonts w:hint="eastAsia" w:ascii="宋体" w:hAnsi="宋体"/>
                      <w:sz w:val="18"/>
                      <w:szCs w:val="18"/>
                    </w:rPr>
                    <w:t>内</w:t>
                  </w:r>
                  <w:r>
                    <w:rPr>
                      <w:rFonts w:ascii="宋体" w:hAnsi="宋体"/>
                      <w:sz w:val="18"/>
                      <w:szCs w:val="18"/>
                    </w:rPr>
                    <w:t>，</w:t>
                  </w:r>
                  <w:r>
                    <w:rPr>
                      <w:rFonts w:hint="eastAsia" w:ascii="宋体" w:hAnsi="宋体"/>
                      <w:sz w:val="18"/>
                      <w:szCs w:val="18"/>
                    </w:rPr>
                    <w:t>采取建筑隔声、</w:t>
                  </w:r>
                  <w:r>
                    <w:rPr>
                      <w:rFonts w:ascii="宋体" w:hAnsi="宋体"/>
                      <w:sz w:val="18"/>
                      <w:szCs w:val="18"/>
                    </w:rPr>
                    <w:t>优选设备</w:t>
                  </w:r>
                  <w:r>
                    <w:rPr>
                      <w:rFonts w:hint="eastAsia" w:ascii="宋体" w:hAnsi="宋体"/>
                      <w:sz w:val="18"/>
                      <w:szCs w:val="18"/>
                    </w:rPr>
                    <w:t>、</w:t>
                  </w:r>
                  <w:r>
                    <w:rPr>
                      <w:rFonts w:ascii="宋体" w:hAnsi="宋体"/>
                      <w:sz w:val="18"/>
                      <w:szCs w:val="18"/>
                    </w:rPr>
                    <w:t>设备基础减震，</w:t>
                  </w:r>
                  <w:r>
                    <w:rPr>
                      <w:rFonts w:hint="eastAsia" w:ascii="宋体" w:hAnsi="宋体"/>
                      <w:sz w:val="18"/>
                      <w:szCs w:val="18"/>
                    </w:rPr>
                    <w:t>风机安装消声装置、距离衰减</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1.0</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ascii="宋体" w:hAnsi="宋体"/>
                      <w:sz w:val="18"/>
                      <w:szCs w:val="18"/>
                    </w:rPr>
                    <w:t>固废处置</w:t>
                  </w:r>
                </w:p>
              </w:tc>
              <w:tc>
                <w:tcPr>
                  <w:tcW w:w="508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left"/>
                    <w:rPr>
                      <w:kern w:val="0"/>
                      <w:sz w:val="18"/>
                      <w:szCs w:val="18"/>
                    </w:rPr>
                  </w:pPr>
                  <w:r>
                    <w:rPr>
                      <w:rFonts w:hint="eastAsia" w:ascii="宋体" w:hAnsi="宋体"/>
                      <w:kern w:val="0"/>
                      <w:sz w:val="18"/>
                      <w:szCs w:val="18"/>
                    </w:rPr>
                    <w:t>软水设备定期更换的废离子交换树脂，属一般固废，定期更换与生活垃圾一并处理</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92"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ascii="宋体" w:hAnsi="宋体"/>
                      <w:sz w:val="18"/>
                      <w:szCs w:val="18"/>
                    </w:rPr>
                    <w:t>其他</w:t>
                  </w:r>
                </w:p>
              </w:tc>
              <w:tc>
                <w:tcPr>
                  <w:tcW w:w="5086"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rPr>
                      <w:sz w:val="18"/>
                      <w:szCs w:val="18"/>
                    </w:rPr>
                  </w:pPr>
                  <w:r>
                    <w:rPr>
                      <w:rFonts w:ascii="宋体" w:hAnsi="宋体"/>
                      <w:sz w:val="18"/>
                      <w:szCs w:val="18"/>
                    </w:rPr>
                    <w:t>对</w:t>
                  </w:r>
                  <w:r>
                    <w:rPr>
                      <w:rFonts w:hint="eastAsia" w:ascii="宋体" w:hAnsi="宋体"/>
                      <w:sz w:val="18"/>
                      <w:szCs w:val="18"/>
                    </w:rPr>
                    <w:t>锅炉废气排放口</w:t>
                  </w:r>
                  <w:r>
                    <w:rPr>
                      <w:rFonts w:ascii="宋体" w:hAnsi="宋体"/>
                      <w:sz w:val="18"/>
                      <w:szCs w:val="18"/>
                    </w:rPr>
                    <w:t>进行规范化建设</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1.0</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ascii="宋体" w:hAnsi="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578" w:type="dxa"/>
                  <w:gridSpan w:val="2"/>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ascii="宋体" w:hAnsi="宋体"/>
                      <w:sz w:val="18"/>
                      <w:szCs w:val="18"/>
                    </w:rPr>
                    <w:t>合</w:t>
                  </w:r>
                  <w:r>
                    <w:rPr>
                      <w:sz w:val="18"/>
                      <w:szCs w:val="18"/>
                    </w:rPr>
                    <w:t xml:space="preserve"> </w:t>
                  </w:r>
                  <w:r>
                    <w:rPr>
                      <w:rFonts w:ascii="宋体" w:hAnsi="宋体"/>
                      <w:sz w:val="18"/>
                      <w:szCs w:val="18"/>
                    </w:rPr>
                    <w:t>计</w:t>
                  </w:r>
                </w:p>
              </w:tc>
              <w:tc>
                <w:tcPr>
                  <w:tcW w:w="850"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10.5</w:t>
                  </w:r>
                </w:p>
              </w:tc>
              <w:tc>
                <w:tcPr>
                  <w:tcW w:w="691" w:type="dxa"/>
                  <w:tcBorders>
                    <w:top w:val="single" w:color="auto" w:sz="4" w:space="0"/>
                    <w:left w:val="single" w:color="auto" w:sz="4" w:space="0"/>
                    <w:bottom w:val="single" w:color="auto" w:sz="4" w:space="0"/>
                    <w:right w:val="single" w:color="auto" w:sz="4" w:space="0"/>
                  </w:tcBorders>
                  <w:vAlign w:val="center"/>
                </w:tcPr>
                <w:p>
                  <w:pPr>
                    <w:autoSpaceDE w:val="0"/>
                    <w:spacing w:line="280" w:lineRule="exact"/>
                    <w:ind w:left="-53" w:leftChars="-25" w:right="-53" w:rightChars="-25"/>
                    <w:jc w:val="center"/>
                    <w:rPr>
                      <w:sz w:val="18"/>
                      <w:szCs w:val="18"/>
                    </w:rPr>
                  </w:pPr>
                  <w:r>
                    <w:rPr>
                      <w:rFonts w:hint="eastAsia"/>
                      <w:sz w:val="18"/>
                      <w:szCs w:val="18"/>
                    </w:rPr>
                    <w:t>21.00</w:t>
                  </w:r>
                  <w:r>
                    <w:rPr>
                      <w:sz w:val="18"/>
                      <w:szCs w:val="18"/>
                    </w:rPr>
                    <w:t>%</w:t>
                  </w:r>
                </w:p>
              </w:tc>
            </w:tr>
          </w:tbl>
          <w:p>
            <w:pPr>
              <w:pStyle w:val="15"/>
              <w:spacing w:after="0" w:line="100" w:lineRule="exact"/>
              <w:ind w:left="0" w:leftChars="0"/>
            </w:pPr>
          </w:p>
        </w:tc>
      </w:tr>
    </w:tbl>
    <w:p>
      <w:pPr>
        <w:widowControl/>
        <w:spacing w:line="360" w:lineRule="auto"/>
        <w:jc w:val="left"/>
        <w:rPr>
          <w:b/>
          <w:kern w:val="0"/>
          <w:sz w:val="28"/>
          <w:szCs w:val="28"/>
        </w:rPr>
        <w:sectPr>
          <w:pgSz w:w="11907" w:h="16840"/>
          <w:pgMar w:top="1701" w:right="1531" w:bottom="1701" w:left="1531" w:header="851" w:footer="1077" w:gutter="0"/>
          <w:pgNumType w:fmt="numberInDash"/>
          <w:cols w:space="720" w:num="1"/>
          <w:docGrid w:linePitch="286" w:charSpace="0"/>
        </w:sectPr>
      </w:pPr>
    </w:p>
    <w:p>
      <w:pPr>
        <w:pStyle w:val="19"/>
        <w:jc w:val="center"/>
        <w:outlineLvl w:val="0"/>
        <w:rPr>
          <w:rFonts w:ascii="Times New Roman" w:hAnsi="Times New Roman" w:eastAsia="黑体" w:cs="Times New Roman"/>
          <w:snapToGrid w:val="0"/>
          <w:kern w:val="0"/>
          <w:sz w:val="30"/>
          <w:szCs w:val="30"/>
        </w:rPr>
      </w:pPr>
      <w:r>
        <w:rPr>
          <w:rFonts w:ascii="Times New Roman" w:hAnsi="Times New Roman" w:eastAsia="黑体" w:cs="Times New Roman"/>
          <w:snapToGrid w:val="0"/>
          <w:sz w:val="30"/>
          <w:szCs w:val="30"/>
        </w:rPr>
        <w:t>五、</w:t>
      </w:r>
      <w:bookmarkStart w:id="11" w:name="_Hlk54167917"/>
      <w:r>
        <w:rPr>
          <w:rFonts w:ascii="Times New Roman" w:hAnsi="Times New Roman" w:eastAsia="黑体" w:cs="Times New Roman"/>
          <w:snapToGrid w:val="0"/>
          <w:sz w:val="30"/>
          <w:szCs w:val="30"/>
        </w:rPr>
        <w:t>环境保护措施监督检查清单</w:t>
      </w:r>
      <w:bookmarkEnd w:id="11"/>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61"/>
        <w:gridCol w:w="992"/>
        <w:gridCol w:w="2551"/>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78" w:type="dxa"/>
            <w:tcBorders>
              <w:top w:val="single" w:color="auto" w:sz="8" w:space="0"/>
              <w:left w:val="single" w:color="auto" w:sz="8" w:space="0"/>
              <w:bottom w:val="single" w:color="auto" w:sz="4" w:space="0"/>
              <w:right w:val="single" w:color="auto" w:sz="4" w:space="0"/>
              <w:tl2br w:val="single" w:color="auto" w:sz="4" w:space="0"/>
            </w:tcBorders>
          </w:tcPr>
          <w:p>
            <w:pPr>
              <w:adjustRightInd w:val="0"/>
              <w:snapToGrid w:val="0"/>
              <w:spacing w:line="400" w:lineRule="exact"/>
              <w:ind w:firstLine="840"/>
              <w:rPr>
                <w:rFonts w:eastAsiaTheme="minorEastAsia"/>
                <w:szCs w:val="21"/>
              </w:rPr>
            </w:pPr>
            <w:r>
              <w:rPr>
                <w:rFonts w:eastAsiaTheme="minorEastAsia"/>
                <w:szCs w:val="21"/>
              </w:rPr>
              <w:t>内容</w:t>
            </w:r>
          </w:p>
          <w:p>
            <w:pPr>
              <w:adjustRightInd w:val="0"/>
              <w:snapToGrid w:val="0"/>
              <w:spacing w:line="400" w:lineRule="exact"/>
              <w:rPr>
                <w:rFonts w:eastAsiaTheme="minorEastAsia"/>
                <w:szCs w:val="21"/>
              </w:rPr>
            </w:pPr>
            <w:r>
              <w:rPr>
                <w:rFonts w:eastAsiaTheme="minorEastAsia"/>
                <w:szCs w:val="21"/>
              </w:rPr>
              <w:t>要素</w:t>
            </w:r>
          </w:p>
        </w:tc>
        <w:tc>
          <w:tcPr>
            <w:tcW w:w="146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排放口(编号、</w:t>
            </w:r>
          </w:p>
          <w:p>
            <w:pPr>
              <w:adjustRightInd w:val="0"/>
              <w:snapToGrid w:val="0"/>
              <w:spacing w:line="400" w:lineRule="exact"/>
              <w:jc w:val="center"/>
              <w:rPr>
                <w:rFonts w:eastAsiaTheme="minorEastAsia"/>
                <w:szCs w:val="21"/>
              </w:rPr>
            </w:pPr>
            <w:r>
              <w:rPr>
                <w:rFonts w:eastAsiaTheme="minorEastAsia"/>
                <w:szCs w:val="21"/>
              </w:rPr>
              <w:t>名称)/污染源</w:t>
            </w:r>
          </w:p>
        </w:tc>
        <w:tc>
          <w:tcPr>
            <w:tcW w:w="992"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污染物项目</w:t>
            </w:r>
          </w:p>
        </w:tc>
        <w:tc>
          <w:tcPr>
            <w:tcW w:w="255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center"/>
              <w:rPr>
                <w:rFonts w:eastAsiaTheme="minorEastAsia"/>
                <w:szCs w:val="21"/>
              </w:rPr>
            </w:pPr>
            <w:r>
              <w:rPr>
                <w:rFonts w:eastAsiaTheme="minorEastAsia"/>
                <w:szCs w:val="21"/>
              </w:rPr>
              <w:t>环境保护措施</w:t>
            </w:r>
          </w:p>
        </w:tc>
        <w:tc>
          <w:tcPr>
            <w:tcW w:w="2018"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78" w:type="dxa"/>
            <w:vMerge w:val="restart"/>
            <w:tcBorders>
              <w:top w:val="single" w:color="auto" w:sz="4" w:space="0"/>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r>
              <w:rPr>
                <w:rFonts w:eastAsiaTheme="minorEastAsia"/>
                <w:szCs w:val="21"/>
              </w:rPr>
              <w:t>大气环境</w:t>
            </w:r>
          </w:p>
        </w:tc>
        <w:tc>
          <w:tcPr>
            <w:tcW w:w="1461" w:type="dxa"/>
            <w:tcBorders>
              <w:top w:val="single" w:color="auto" w:sz="4" w:space="0"/>
              <w:left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施工现场</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jc w:val="center"/>
              <w:rPr>
                <w:rFonts w:eastAsiaTheme="minorEastAsia"/>
                <w:szCs w:val="21"/>
              </w:rPr>
            </w:pPr>
            <w:r>
              <w:rPr>
                <w:rFonts w:eastAsiaTheme="minorEastAsia"/>
                <w:szCs w:val="21"/>
              </w:rPr>
              <w:t>施工</w:t>
            </w:r>
          </w:p>
          <w:p>
            <w:pPr>
              <w:adjustRightInd w:val="0"/>
              <w:snapToGrid w:val="0"/>
              <w:spacing w:line="400" w:lineRule="exact"/>
              <w:jc w:val="center"/>
              <w:rPr>
                <w:rFonts w:eastAsiaTheme="minorEastAsia"/>
                <w:szCs w:val="21"/>
              </w:rPr>
            </w:pPr>
            <w:r>
              <w:rPr>
                <w:rFonts w:eastAsiaTheme="minorEastAsia"/>
                <w:szCs w:val="21"/>
              </w:rPr>
              <w:t>扬尘</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ind w:left="-53" w:leftChars="-25" w:right="-53" w:rightChars="-25"/>
              <w:jc w:val="left"/>
              <w:rPr>
                <w:rFonts w:eastAsiaTheme="minorEastAsia"/>
                <w:szCs w:val="21"/>
              </w:rPr>
            </w:pPr>
            <w:r>
              <w:rPr>
                <w:rFonts w:hint="eastAsia" w:ascii="宋体" w:hAnsi="宋体" w:cs="宋体"/>
                <w:szCs w:val="21"/>
              </w:rPr>
              <w:t>①围挡作业；②喷雾洒水、湿法作业；③车辆冲洗</w:t>
            </w:r>
          </w:p>
        </w:tc>
        <w:tc>
          <w:tcPr>
            <w:tcW w:w="2018" w:type="dxa"/>
            <w:tcBorders>
              <w:top w:val="single" w:color="auto" w:sz="4" w:space="0"/>
              <w:left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hint="eastAsia" w:cs="宋体"/>
                <w:spacing w:val="-4"/>
                <w:szCs w:val="21"/>
              </w:rPr>
              <w:t>《四川省施工场地扬尘排放标准》（</w:t>
            </w:r>
            <w:r>
              <w:rPr>
                <w:spacing w:val="-4"/>
                <w:szCs w:val="21"/>
              </w:rPr>
              <w:t>DB512682-2020</w:t>
            </w:r>
            <w:r>
              <w:rPr>
                <w:rFonts w:hint="eastAsia" w:cs="宋体"/>
                <w:spacing w:val="-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778" w:type="dxa"/>
            <w:vMerge w:val="continue"/>
            <w:tcBorders>
              <w:left w:val="single" w:color="auto" w:sz="8" w:space="0"/>
              <w:right w:val="single" w:color="auto" w:sz="4" w:space="0"/>
            </w:tcBorders>
            <w:shd w:val="clear" w:color="auto" w:fill="auto"/>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jc w:val="center"/>
              <w:rPr>
                <w:szCs w:val="21"/>
              </w:rPr>
            </w:pPr>
            <w:r>
              <w:rPr>
                <w:rFonts w:hint="eastAsia"/>
                <w:szCs w:val="21"/>
              </w:rPr>
              <w:t>锅炉房</w:t>
            </w:r>
          </w:p>
          <w:p>
            <w:pPr>
              <w:adjustRightInd w:val="0"/>
              <w:snapToGrid w:val="0"/>
              <w:spacing w:line="340" w:lineRule="exact"/>
              <w:jc w:val="center"/>
              <w:rPr>
                <w:szCs w:val="21"/>
              </w:rPr>
            </w:pPr>
            <w:r>
              <w:rPr>
                <w:rFonts w:hint="eastAsia"/>
                <w:szCs w:val="21"/>
              </w:rPr>
              <w:t>燃气锅炉MF0001</w:t>
            </w:r>
          </w:p>
        </w:tc>
        <w:tc>
          <w:tcPr>
            <w:tcW w:w="992" w:type="dxa"/>
            <w:tcBorders>
              <w:top w:val="single" w:color="auto" w:sz="4" w:space="0"/>
              <w:left w:val="single" w:color="auto" w:sz="4" w:space="0"/>
              <w:bottom w:val="single" w:color="auto" w:sz="4" w:space="0"/>
              <w:right w:val="single" w:color="auto" w:sz="4" w:space="0"/>
            </w:tcBorders>
            <w:vAlign w:val="center"/>
          </w:tcPr>
          <w:p>
            <w:pPr>
              <w:autoSpaceDE w:val="0"/>
              <w:adjustRightInd w:val="0"/>
              <w:snapToGrid w:val="0"/>
              <w:spacing w:line="280" w:lineRule="exact"/>
              <w:ind w:left="-71" w:leftChars="-34" w:right="-71" w:rightChars="-34"/>
              <w:jc w:val="center"/>
              <w:rPr>
                <w:sz w:val="20"/>
                <w:szCs w:val="18"/>
              </w:rPr>
            </w:pPr>
            <w:r>
              <w:rPr>
                <w:sz w:val="20"/>
                <w:szCs w:val="18"/>
              </w:rPr>
              <w:t>SO</w:t>
            </w:r>
            <w:r>
              <w:rPr>
                <w:sz w:val="20"/>
                <w:szCs w:val="18"/>
                <w:vertAlign w:val="subscript"/>
              </w:rPr>
              <w:t>2</w:t>
            </w:r>
          </w:p>
          <w:p>
            <w:pPr>
              <w:autoSpaceDE w:val="0"/>
              <w:adjustRightInd w:val="0"/>
              <w:snapToGrid w:val="0"/>
              <w:spacing w:line="280" w:lineRule="exact"/>
              <w:ind w:left="-71" w:leftChars="-34" w:right="-71" w:rightChars="-34"/>
              <w:jc w:val="center"/>
              <w:rPr>
                <w:sz w:val="20"/>
                <w:szCs w:val="18"/>
              </w:rPr>
            </w:pPr>
            <w:r>
              <w:rPr>
                <w:sz w:val="20"/>
                <w:szCs w:val="18"/>
              </w:rPr>
              <w:t>NOx</w:t>
            </w:r>
          </w:p>
          <w:p>
            <w:pPr>
              <w:autoSpaceDE w:val="0"/>
              <w:adjustRightInd w:val="0"/>
              <w:snapToGrid w:val="0"/>
              <w:spacing w:line="280" w:lineRule="exact"/>
              <w:ind w:left="-71" w:leftChars="-34" w:right="-71" w:rightChars="-34"/>
              <w:jc w:val="center"/>
              <w:rPr>
                <w:sz w:val="20"/>
                <w:szCs w:val="18"/>
              </w:rPr>
            </w:pPr>
            <w:r>
              <w:rPr>
                <w:sz w:val="20"/>
                <w:szCs w:val="18"/>
              </w:rPr>
              <w:t>CO</w:t>
            </w:r>
          </w:p>
          <w:p>
            <w:pPr>
              <w:rPr>
                <w:rFonts w:ascii="宋体" w:hAnsi="宋体" w:cs="宋体"/>
                <w:szCs w:val="21"/>
              </w:rPr>
            </w:pPr>
            <w:r>
              <w:rPr>
                <w:rFonts w:ascii="宋体" w:hAnsi="宋体"/>
                <w:sz w:val="20"/>
                <w:szCs w:val="18"/>
              </w:rPr>
              <w:t>烟尘</w:t>
            </w:r>
          </w:p>
        </w:tc>
        <w:tc>
          <w:tcPr>
            <w:tcW w:w="2551"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宋体" w:hAnsi="宋体"/>
                <w:spacing w:val="-4"/>
                <w:kern w:val="0"/>
                <w:szCs w:val="21"/>
              </w:rPr>
            </w:pPr>
            <w:r>
              <w:rPr>
                <w:rFonts w:hint="eastAsia" w:ascii="宋体" w:hAnsi="宋体"/>
                <w:spacing w:val="-4"/>
                <w:kern w:val="0"/>
                <w:szCs w:val="21"/>
              </w:rPr>
              <w:t>采用天然气作为燃料，CZI贯流式锅炉炉体配置低氮燃烧器，燃烧废气经12m高排气筒排放</w:t>
            </w:r>
          </w:p>
        </w:tc>
        <w:tc>
          <w:tcPr>
            <w:tcW w:w="2018" w:type="dxa"/>
            <w:tcBorders>
              <w:top w:val="single" w:color="auto" w:sz="6" w:space="0"/>
              <w:left w:val="single" w:color="auto" w:sz="4" w:space="0"/>
              <w:right w:val="single" w:color="auto" w:sz="8" w:space="0"/>
            </w:tcBorders>
            <w:vAlign w:val="center"/>
          </w:tcPr>
          <w:p>
            <w:pPr>
              <w:adjustRightInd w:val="0"/>
              <w:snapToGrid w:val="0"/>
              <w:spacing w:line="360" w:lineRule="exact"/>
              <w:ind w:left="-53" w:leftChars="-25" w:right="-53" w:rightChars="-25"/>
              <w:jc w:val="center"/>
              <w:rPr>
                <w:rFonts w:eastAsiaTheme="minorEastAsia"/>
                <w:szCs w:val="21"/>
              </w:rPr>
            </w:pPr>
            <w:r>
              <w:rPr>
                <w:rFonts w:hint="eastAsia" w:eastAsiaTheme="minorEastAsia"/>
                <w:szCs w:val="21"/>
              </w:rPr>
              <w:t>《锅炉大气污染物排放标准》（GB13271-2014）特别排放限值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地表水环境</w:t>
            </w:r>
          </w:p>
        </w:tc>
        <w:tc>
          <w:tcPr>
            <w:tcW w:w="1461" w:type="dxa"/>
            <w:tcBorders>
              <w:top w:val="single" w:color="auto" w:sz="4" w:space="0"/>
              <w:left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施工期</w:t>
            </w:r>
          </w:p>
        </w:tc>
        <w:tc>
          <w:tcPr>
            <w:tcW w:w="992"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hint="eastAsia" w:ascii="宋体" w:hAnsi="宋体"/>
                <w:sz w:val="21"/>
                <w:szCs w:val="21"/>
              </w:rPr>
              <w:t>SS</w:t>
            </w:r>
            <w:r>
              <w:rPr>
                <w:rFonts w:ascii="宋体" w:hAnsi="宋体"/>
                <w:sz w:val="21"/>
                <w:szCs w:val="21"/>
              </w:rPr>
              <w:t>、石油类</w:t>
            </w:r>
          </w:p>
        </w:tc>
        <w:tc>
          <w:tcPr>
            <w:tcW w:w="255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设置</w:t>
            </w:r>
            <w:r>
              <w:rPr>
                <w:rFonts w:hint="eastAsia" w:ascii="宋体" w:hAnsi="宋体"/>
                <w:sz w:val="21"/>
                <w:szCs w:val="21"/>
              </w:rPr>
              <w:t>废水收集设施，收集沉淀后回用</w:t>
            </w:r>
          </w:p>
        </w:tc>
        <w:tc>
          <w:tcPr>
            <w:tcW w:w="2018" w:type="dxa"/>
            <w:tcBorders>
              <w:left w:val="single" w:color="auto" w:sz="4" w:space="0"/>
              <w:bottom w:val="single" w:color="auto" w:sz="4" w:space="0"/>
              <w:right w:val="single" w:color="auto" w:sz="8" w:space="0"/>
            </w:tcBorders>
            <w:vAlign w:val="center"/>
          </w:tcPr>
          <w:p>
            <w:pPr>
              <w:adjustRightInd w:val="0"/>
              <w:snapToGrid w:val="0"/>
              <w:spacing w:line="360" w:lineRule="exact"/>
              <w:jc w:val="center"/>
              <w:rPr>
                <w:spacing w:val="-4"/>
                <w:szCs w:val="21"/>
              </w:rPr>
            </w:pPr>
            <w:r>
              <w:rPr>
                <w:spacing w:val="-4"/>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hint="eastAsia" w:ascii="宋体" w:hAnsi="宋体"/>
                <w:sz w:val="21"/>
                <w:szCs w:val="21"/>
              </w:rPr>
              <w:t>软水设备排水锅炉排水、离子交换树脂再生废水</w:t>
            </w:r>
          </w:p>
        </w:tc>
        <w:tc>
          <w:tcPr>
            <w:tcW w:w="992"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hint="eastAsia" w:ascii="宋体" w:hAnsi="宋体"/>
                <w:sz w:val="21"/>
                <w:szCs w:val="21"/>
              </w:rPr>
              <w:t>盐类</w:t>
            </w:r>
          </w:p>
        </w:tc>
        <w:tc>
          <w:tcPr>
            <w:tcW w:w="255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hint="eastAsia" w:ascii="宋体" w:hAnsi="宋体"/>
                <w:sz w:val="21"/>
                <w:szCs w:val="21"/>
              </w:rPr>
              <w:t>利用洗涤废水处理池沉淀处理后，随洗涤废水一同经自建污水管网排入东岳场镇污水管网，最终进入东岳场镇污水处理厂</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eastAsiaTheme="minorEastAsia"/>
                <w:szCs w:val="21"/>
              </w:rPr>
              <w:t>《污水综合排放标准》（</w:t>
            </w:r>
            <w:r>
              <w:rPr>
                <w:rFonts w:hint="eastAsia" w:eastAsiaTheme="minorEastAsia"/>
                <w:szCs w:val="21"/>
              </w:rPr>
              <w:t>GB</w:t>
            </w:r>
            <w:r>
              <w:rPr>
                <w:rFonts w:ascii="Arial" w:hAnsi="Arial" w:cs="Arial"/>
                <w:sz w:val="20"/>
                <w:szCs w:val="20"/>
              </w:rPr>
              <w:t xml:space="preserve"> GB8978-1996</w:t>
            </w: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1778" w:type="dxa"/>
            <w:vMerge w:val="restart"/>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声环境</w:t>
            </w: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施工噪声</w:t>
            </w:r>
          </w:p>
        </w:tc>
        <w:tc>
          <w:tcPr>
            <w:tcW w:w="992"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噪声</w:t>
            </w:r>
          </w:p>
        </w:tc>
        <w:tc>
          <w:tcPr>
            <w:tcW w:w="255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选用先进的、噪声较低的环保型设备；合理安排工期；文明施工；运输车辆减速行驶、禁止鸣笛</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《建筑施工场界环境噪声排放限值》（GB12523-2011）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778" w:type="dxa"/>
            <w:vMerge w:val="continue"/>
            <w:tcBorders>
              <w:left w:val="single" w:color="auto" w:sz="8" w:space="0"/>
              <w:right w:val="single" w:color="auto" w:sz="4" w:space="0"/>
            </w:tcBorders>
            <w:vAlign w:val="center"/>
          </w:tcPr>
          <w:p>
            <w:pPr>
              <w:adjustRightInd w:val="0"/>
              <w:snapToGrid w:val="0"/>
              <w:spacing w:line="360" w:lineRule="exact"/>
              <w:jc w:val="center"/>
              <w:rPr>
                <w:rFonts w:eastAsiaTheme="minorEastAsia"/>
                <w:szCs w:val="21"/>
              </w:rPr>
            </w:pPr>
          </w:p>
        </w:tc>
        <w:tc>
          <w:tcPr>
            <w:tcW w:w="146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锅炉房</w:t>
            </w:r>
          </w:p>
        </w:tc>
        <w:tc>
          <w:tcPr>
            <w:tcW w:w="992"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ascii="宋体" w:hAnsi="宋体"/>
                <w:sz w:val="21"/>
                <w:szCs w:val="21"/>
              </w:rPr>
              <w:t>设备噪声</w:t>
            </w:r>
          </w:p>
        </w:tc>
        <w:tc>
          <w:tcPr>
            <w:tcW w:w="2551" w:type="dxa"/>
            <w:tcBorders>
              <w:top w:val="single" w:color="auto" w:sz="4" w:space="0"/>
              <w:left w:val="single" w:color="auto" w:sz="4" w:space="0"/>
              <w:bottom w:val="single" w:color="auto" w:sz="4" w:space="0"/>
              <w:right w:val="single" w:color="auto" w:sz="4" w:space="0"/>
            </w:tcBorders>
            <w:vAlign w:val="center"/>
          </w:tcPr>
          <w:p>
            <w:pPr>
              <w:pStyle w:val="38"/>
              <w:spacing w:line="340" w:lineRule="exact"/>
              <w:jc w:val="center"/>
              <w:rPr>
                <w:rFonts w:ascii="宋体" w:hAnsi="宋体"/>
                <w:sz w:val="21"/>
                <w:szCs w:val="21"/>
              </w:rPr>
            </w:pPr>
            <w:r>
              <w:rPr>
                <w:rFonts w:hint="eastAsia" w:ascii="宋体" w:hAnsi="宋体"/>
                <w:sz w:val="21"/>
                <w:szCs w:val="21"/>
              </w:rPr>
              <w:t>设置专用房间，</w:t>
            </w:r>
            <w:r>
              <w:rPr>
                <w:rFonts w:ascii="宋体" w:hAnsi="宋体"/>
                <w:sz w:val="21"/>
                <w:szCs w:val="21"/>
              </w:rPr>
              <w:t>优选设备、设备基础减振、建筑隔声，加强维护管理</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jc w:val="center"/>
              <w:rPr>
                <w:rFonts w:eastAsiaTheme="minorEastAsia"/>
                <w:szCs w:val="21"/>
              </w:rPr>
            </w:pPr>
            <w:r>
              <w:rPr>
                <w:rFonts w:eastAsiaTheme="minorEastAsia"/>
                <w:szCs w:val="21"/>
              </w:rPr>
              <w:t>《工业企业厂界环境噪声排放标准》（GB12348-2008）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电磁辐射</w:t>
            </w:r>
          </w:p>
        </w:tc>
        <w:tc>
          <w:tcPr>
            <w:tcW w:w="146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c>
          <w:tcPr>
            <w:tcW w:w="25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rFonts w:eastAsiaTheme="minorEastAsia"/>
                <w:szCs w:val="21"/>
              </w:rPr>
            </w:pPr>
            <w:r>
              <w:rPr>
                <w:rFonts w:eastAsiaTheme="minorEastAsia"/>
                <w:szCs w:val="21"/>
              </w:rPr>
              <w:t>/</w:t>
            </w:r>
          </w:p>
        </w:tc>
        <w:tc>
          <w:tcPr>
            <w:tcW w:w="2018"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360" w:lineRule="exact"/>
              <w:jc w:val="center"/>
              <w:rPr>
                <w:rFonts w:eastAsiaTheme="minorEastAsia"/>
                <w:szCs w:val="21"/>
              </w:rPr>
            </w:pPr>
            <w:r>
              <w:rPr>
                <w:rFonts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rFonts w:eastAsiaTheme="minorEastAsia"/>
                <w:szCs w:val="21"/>
              </w:rPr>
            </w:pPr>
            <w:r>
              <w:rPr>
                <w:rFonts w:eastAsiaTheme="minorEastAsia"/>
                <w:szCs w:val="21"/>
              </w:rPr>
              <w:t>固体废物</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40" w:lineRule="exact"/>
              <w:ind w:left="-53" w:leftChars="-25" w:right="-53" w:rightChars="-25"/>
              <w:jc w:val="left"/>
              <w:rPr>
                <w:rFonts w:eastAsia="黑体"/>
                <w:bCs/>
                <w:szCs w:val="21"/>
              </w:rPr>
            </w:pPr>
            <w:r>
              <w:rPr>
                <w:rFonts w:eastAsia="黑体"/>
                <w:bCs/>
                <w:szCs w:val="21"/>
              </w:rPr>
              <w:t>1、施工期</w:t>
            </w:r>
          </w:p>
          <w:p>
            <w:pPr>
              <w:autoSpaceDE w:val="0"/>
              <w:autoSpaceDN w:val="0"/>
              <w:adjustRightInd w:val="0"/>
              <w:spacing w:line="340" w:lineRule="exact"/>
              <w:ind w:firstLine="422" w:firstLineChars="201"/>
              <w:jc w:val="left"/>
              <w:rPr>
                <w:szCs w:val="21"/>
              </w:rPr>
            </w:pPr>
            <w:r>
              <w:rPr>
                <w:szCs w:val="21"/>
              </w:rPr>
              <w:t>废弃建筑材料收集后，外售废品回收站。</w:t>
            </w:r>
          </w:p>
          <w:p>
            <w:pPr>
              <w:adjustRightInd w:val="0"/>
              <w:snapToGrid w:val="0"/>
              <w:spacing w:line="340" w:lineRule="exact"/>
              <w:ind w:left="-53" w:leftChars="-25" w:right="-53" w:rightChars="-25"/>
              <w:jc w:val="left"/>
              <w:rPr>
                <w:rFonts w:eastAsia="黑体"/>
                <w:bCs/>
                <w:szCs w:val="21"/>
              </w:rPr>
            </w:pPr>
            <w:r>
              <w:rPr>
                <w:rFonts w:eastAsia="黑体"/>
                <w:bCs/>
                <w:szCs w:val="21"/>
              </w:rPr>
              <w:t>2、营运期</w:t>
            </w:r>
          </w:p>
          <w:p>
            <w:pPr>
              <w:autoSpaceDE w:val="0"/>
              <w:autoSpaceDN w:val="0"/>
              <w:adjustRightInd w:val="0"/>
              <w:spacing w:line="340" w:lineRule="exact"/>
              <w:ind w:firstLine="422" w:firstLineChars="201"/>
              <w:jc w:val="left"/>
              <w:rPr>
                <w:kern w:val="0"/>
                <w:szCs w:val="21"/>
              </w:rPr>
            </w:pPr>
            <w:r>
              <w:rPr>
                <w:rFonts w:hint="eastAsia"/>
                <w:kern w:val="0"/>
                <w:szCs w:val="21"/>
              </w:rPr>
              <w:t>软水设备定期更换的废离子交换树脂，属一般固废，定期更换与生活垃圾一并处理。固体废物处置执行《一般工业固体废物贮存和填埋污染控制标准》（GB18599-2020）的有关规定。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土壤及地下水</w:t>
            </w:r>
          </w:p>
          <w:p>
            <w:pPr>
              <w:adjustRightInd w:val="0"/>
              <w:snapToGrid w:val="0"/>
              <w:spacing w:line="340" w:lineRule="exact"/>
              <w:jc w:val="center"/>
              <w:rPr>
                <w:szCs w:val="21"/>
              </w:rPr>
            </w:pPr>
            <w:r>
              <w:rPr>
                <w:szCs w:val="21"/>
              </w:rPr>
              <w:t>污染防治措施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340" w:lineRule="exact"/>
              <w:ind w:firstLine="420" w:firstLineChars="200"/>
              <w:jc w:val="left"/>
              <w:rPr>
                <w:szCs w:val="21"/>
              </w:rPr>
            </w:pPr>
            <w:r>
              <w:rPr>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340" w:lineRule="exact"/>
              <w:jc w:val="center"/>
              <w:rPr>
                <w:szCs w:val="21"/>
              </w:rPr>
            </w:pPr>
            <w:r>
              <w:rPr>
                <w:szCs w:val="21"/>
              </w:rPr>
              <w:t>生态保护措施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340" w:lineRule="exact"/>
              <w:ind w:left="-53" w:leftChars="-25" w:right="-53" w:rightChars="-25" w:firstLine="420" w:firstLineChars="200"/>
              <w:jc w:val="left"/>
              <w:rPr>
                <w:szCs w:val="21"/>
              </w:rPr>
            </w:pPr>
            <w:r>
              <w:rPr>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1" w:hRule="atLeast"/>
          <w:jc w:val="center"/>
        </w:trPr>
        <w:tc>
          <w:tcPr>
            <w:tcW w:w="1778"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spacing w:val="-8"/>
                <w:szCs w:val="21"/>
              </w:rPr>
            </w:pPr>
            <w:r>
              <w:rPr>
                <w:spacing w:val="-8"/>
                <w:szCs w:val="21"/>
              </w:rPr>
              <w:t>环境风险</w:t>
            </w:r>
          </w:p>
          <w:p>
            <w:pPr>
              <w:adjustRightInd w:val="0"/>
              <w:snapToGrid w:val="0"/>
              <w:jc w:val="center"/>
              <w:rPr>
                <w:spacing w:val="-8"/>
                <w:szCs w:val="21"/>
              </w:rPr>
            </w:pPr>
            <w:r>
              <w:rPr>
                <w:spacing w:val="-8"/>
                <w:szCs w:val="21"/>
              </w:rPr>
              <w:t>防范措施</w:t>
            </w:r>
          </w:p>
        </w:tc>
        <w:tc>
          <w:tcPr>
            <w:tcW w:w="7022"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pacing w:line="400" w:lineRule="exact"/>
              <w:ind w:firstLine="420" w:firstLineChars="200"/>
              <w:rPr>
                <w:szCs w:val="21"/>
              </w:rPr>
            </w:pPr>
            <w:r>
              <w:rPr>
                <w:rFonts w:hint="eastAsia"/>
                <w:szCs w:val="21"/>
              </w:rPr>
              <w:t>①天然气输送管道设计、施工、运行、管理、检验等应严格按照《城镇燃气设计规范》（GB50028-2006）、《建筑设计防火规范》（GB50016-2006）中的要求执行。</w:t>
            </w:r>
          </w:p>
          <w:p>
            <w:pPr>
              <w:autoSpaceDE w:val="0"/>
              <w:autoSpaceDN w:val="0"/>
              <w:adjustRightInd w:val="0"/>
              <w:spacing w:line="400" w:lineRule="exact"/>
              <w:ind w:firstLine="420" w:firstLineChars="200"/>
              <w:rPr>
                <w:szCs w:val="21"/>
              </w:rPr>
            </w:pPr>
            <w:r>
              <w:rPr>
                <w:rFonts w:hint="eastAsia"/>
                <w:szCs w:val="21"/>
              </w:rPr>
              <w:t>②定期对燃气管道进行维修、保养、更换易损及老化部件，加强自动控制系统的管理和控制，严格控制压力平衡，防止事故发生。燃气进口管道设低压报警、自动切断和充气、吹扫装置，并设置防止气体串入蒸汽管道的控制措施。</w:t>
            </w:r>
          </w:p>
          <w:p>
            <w:pPr>
              <w:autoSpaceDE w:val="0"/>
              <w:autoSpaceDN w:val="0"/>
              <w:adjustRightInd w:val="0"/>
              <w:spacing w:line="400" w:lineRule="exact"/>
              <w:ind w:firstLine="420" w:firstLineChars="200"/>
              <w:rPr>
                <w:szCs w:val="21"/>
              </w:rPr>
            </w:pPr>
            <w:r>
              <w:rPr>
                <w:rFonts w:hint="eastAsia"/>
                <w:szCs w:val="21"/>
              </w:rPr>
              <w:t>③锅炉炉体、燃气管道的钢结构件，能承受系统中的最高气体压力，以防爆炸。</w:t>
            </w:r>
          </w:p>
          <w:p>
            <w:pPr>
              <w:autoSpaceDE w:val="0"/>
              <w:autoSpaceDN w:val="0"/>
              <w:adjustRightInd w:val="0"/>
              <w:spacing w:line="400" w:lineRule="exact"/>
              <w:ind w:firstLine="420" w:firstLineChars="200"/>
              <w:rPr>
                <w:szCs w:val="21"/>
              </w:rPr>
            </w:pPr>
            <w:r>
              <w:rPr>
                <w:rFonts w:hint="eastAsia"/>
                <w:szCs w:val="21"/>
              </w:rPr>
              <w:t>④加强防火安全管理，凡进入锅炉用房的人员一律严禁</w:t>
            </w:r>
            <w:r>
              <w:rPr>
                <w:rFonts w:hint="eastAsia"/>
                <w:szCs w:val="21"/>
                <w:lang w:eastAsia="zh-CN"/>
              </w:rPr>
              <w:t>携带</w:t>
            </w:r>
            <w:r>
              <w:rPr>
                <w:rFonts w:hint="eastAsia"/>
                <w:szCs w:val="21"/>
              </w:rPr>
              <w:t>火种，在锅炉用房内需动用电焊、气焊作业时，采取必要的预防措施，锅炉房内禁止堆放易燃物品和杂物。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1778"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spacing w:val="-8"/>
                <w:szCs w:val="21"/>
              </w:rPr>
            </w:pPr>
            <w:r>
              <w:rPr>
                <w:spacing w:val="-8"/>
                <w:szCs w:val="21"/>
              </w:rPr>
              <w:t>其他环境</w:t>
            </w:r>
          </w:p>
          <w:p>
            <w:pPr>
              <w:adjustRightInd w:val="0"/>
              <w:snapToGrid w:val="0"/>
              <w:jc w:val="center"/>
              <w:rPr>
                <w:spacing w:val="-8"/>
                <w:szCs w:val="21"/>
              </w:rPr>
            </w:pPr>
            <w:r>
              <w:rPr>
                <w:spacing w:val="-8"/>
                <w:szCs w:val="21"/>
              </w:rPr>
              <w:t>管理要求</w:t>
            </w: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p>
            <w:pPr>
              <w:adjustRightInd w:val="0"/>
              <w:snapToGrid w:val="0"/>
              <w:jc w:val="center"/>
              <w:rPr>
                <w:spacing w:val="-8"/>
                <w:szCs w:val="21"/>
              </w:rPr>
            </w:pPr>
          </w:p>
        </w:tc>
        <w:tc>
          <w:tcPr>
            <w:tcW w:w="7022"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ind w:left="-53" w:leftChars="-25" w:right="-53" w:rightChars="-25"/>
              <w:jc w:val="center"/>
              <w:rPr>
                <w:szCs w:val="21"/>
              </w:rPr>
            </w:pPr>
          </w:p>
          <w:p>
            <w:pPr>
              <w:adjustRightInd w:val="0"/>
              <w:snapToGrid w:val="0"/>
              <w:ind w:left="-53" w:leftChars="-25" w:right="-53" w:rightChars="-25" w:firstLine="420" w:firstLineChars="200"/>
              <w:rPr>
                <w:szCs w:val="21"/>
              </w:rPr>
            </w:pPr>
            <w:r>
              <w:rPr>
                <w:szCs w:val="21"/>
              </w:rPr>
              <w:t>无</w:t>
            </w: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p>
            <w:pPr>
              <w:pStyle w:val="15"/>
              <w:spacing w:after="0" w:line="100" w:lineRule="exact"/>
              <w:jc w:val="left"/>
            </w:pPr>
          </w:p>
        </w:tc>
      </w:tr>
    </w:tbl>
    <w:p>
      <w:pPr>
        <w:pStyle w:val="19"/>
        <w:jc w:val="center"/>
        <w:outlineLvl w:val="0"/>
        <w:rPr>
          <w:rFonts w:ascii="Times New Roman" w:hAnsi="Times New Roman" w:eastAsia="黑体" w:cs="Times New Roman"/>
          <w:snapToGrid w:val="0"/>
          <w:kern w:val="0"/>
          <w:sz w:val="30"/>
          <w:szCs w:val="30"/>
        </w:rPr>
      </w:pPr>
      <w:r>
        <w:rPr>
          <w:rFonts w:ascii="Times New Roman" w:hAnsi="Times New Roman" w:cs="Times New Roman"/>
          <w:snapToGrid w:val="0"/>
          <w:kern w:val="0"/>
          <w:szCs w:val="20"/>
        </w:rPr>
        <w:br w:type="page"/>
      </w:r>
      <w:r>
        <w:rPr>
          <w:rFonts w:ascii="Times New Roman" w:hAnsi="Times New Roman" w:eastAsia="黑体" w:cs="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before="120" w:beforeLines="50" w:after="120" w:afterLines="50" w:line="460" w:lineRule="exact"/>
              <w:ind w:firstLine="422" w:firstLineChars="200"/>
              <w:jc w:val="left"/>
              <w:rPr>
                <w:b/>
                <w:kern w:val="0"/>
                <w:szCs w:val="21"/>
              </w:rPr>
            </w:pPr>
            <w:r>
              <w:rPr>
                <w:b/>
                <w:kern w:val="0"/>
                <w:szCs w:val="21"/>
              </w:rPr>
              <w:t>达州市通川区洁泰洗涤厂“</w:t>
            </w:r>
            <w:r>
              <w:rPr>
                <w:rFonts w:hint="eastAsia"/>
                <w:b/>
                <w:kern w:val="0"/>
                <w:szCs w:val="21"/>
              </w:rPr>
              <w:t>通川区洁泰洗涤厂新增2吨天然气备用锅炉项目</w:t>
            </w:r>
            <w:r>
              <w:rPr>
                <w:b/>
                <w:kern w:val="0"/>
                <w:szCs w:val="21"/>
              </w:rPr>
              <w:t>”符合国家产业政策，满足环境准入条件，周围无明显的环境制约因素，平面布置合理可行。本项目拟采取的各项污染防治措施可使污染物达综合利用或达标排放。建设单位只要严格落实本环境影响报告表提出的环保措施，严格执行“三同时”制度，能够最大限度地减轻项目建设对周围环境造成的影响。从环保角度论证，本项目在所选地址建设是可行的。</w:t>
            </w:r>
          </w:p>
          <w:p>
            <w:pPr>
              <w:spacing w:line="360" w:lineRule="auto"/>
              <w:jc w:val="left"/>
              <w:rPr>
                <w:sz w:val="24"/>
              </w:rPr>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p>
            <w:pPr>
              <w:pStyle w:val="15"/>
              <w:spacing w:after="0" w:line="100" w:lineRule="exact"/>
              <w:ind w:left="0" w:leftChars="0"/>
            </w:pPr>
          </w:p>
        </w:tc>
      </w:tr>
    </w:tbl>
    <w:p>
      <w:pPr>
        <w:widowControl/>
        <w:jc w:val="left"/>
        <w:sectPr>
          <w:pgSz w:w="11906" w:h="16838"/>
          <w:pgMar w:top="1701" w:right="1531" w:bottom="1701" w:left="1531" w:header="851" w:footer="1077" w:gutter="0"/>
          <w:pgNumType w:fmt="numberInDash"/>
          <w:cols w:space="720" w:num="1"/>
          <w:docGrid w:linePitch="286" w:charSpace="0"/>
        </w:sectPr>
      </w:pPr>
    </w:p>
    <w:p>
      <w:pPr>
        <w:pStyle w:val="19"/>
        <w:adjustRightInd w:val="0"/>
        <w:snapToGrid w:val="0"/>
        <w:spacing w:before="0" w:beforeAutospacing="0" w:after="0" w:afterAutospacing="0" w:line="480" w:lineRule="auto"/>
        <w:outlineLvl w:val="0"/>
        <w:rPr>
          <w:rFonts w:ascii="Times New Roman" w:hAnsi="Times New Roman" w:eastAsia="黑体" w:cs="Times New Roman"/>
          <w:snapToGrid w:val="0"/>
          <w:kern w:val="0"/>
          <w:sz w:val="32"/>
          <w:szCs w:val="32"/>
        </w:rPr>
      </w:pPr>
      <w:r>
        <w:rPr>
          <w:rFonts w:ascii="Times New Roman" w:hAnsi="Times New Roman" w:eastAsia="黑体" w:cs="Times New Roman"/>
          <w:snapToGrid w:val="0"/>
          <w:sz w:val="32"/>
          <w:szCs w:val="32"/>
        </w:rPr>
        <w:t>附表</w:t>
      </w:r>
    </w:p>
    <w:p>
      <w:pPr>
        <w:pStyle w:val="19"/>
        <w:adjustRightInd w:val="0"/>
        <w:snapToGrid w:val="0"/>
        <w:spacing w:before="0" w:beforeAutospacing="0" w:after="0" w:afterAutospacing="0" w:line="360" w:lineRule="auto"/>
        <w:jc w:val="center"/>
        <w:outlineLvl w:val="0"/>
        <w:rPr>
          <w:rFonts w:ascii="Times New Roman" w:hAnsi="Times New Roman" w:eastAsia="方正小标宋_GBK" w:cs="Times New Roman"/>
          <w:snapToGrid w:val="0"/>
          <w:sz w:val="38"/>
          <w:szCs w:val="38"/>
        </w:rPr>
      </w:pPr>
      <w:r>
        <w:rPr>
          <w:rFonts w:ascii="Times New Roman" w:hAnsi="Times New Roman" w:eastAsia="方正小标宋_GBK" w:cs="Times New Roman"/>
          <w:snapToGrid w:val="0"/>
          <w:sz w:val="38"/>
          <w:szCs w:val="38"/>
        </w:rPr>
        <w:t>建设项目污染物排放量汇总表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415"/>
        <w:gridCol w:w="1698"/>
        <w:gridCol w:w="1274"/>
        <w:gridCol w:w="1698"/>
        <w:gridCol w:w="1556"/>
        <w:gridCol w:w="1758"/>
        <w:gridCol w:w="1496"/>
        <w:gridCol w:w="12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585"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pStyle w:val="30"/>
              <w:spacing w:before="31" w:line="360" w:lineRule="exact"/>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pPr>
              <w:pStyle w:val="30"/>
              <w:spacing w:before="31" w:line="360" w:lineRule="exact"/>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5"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69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①</w:t>
            </w:r>
            <w:r>
              <w:rPr>
                <w:rFonts w:ascii="Times New Roman" w:hAnsi="Times New Roman" w:eastAsia="黑体" w:cs="Times New Roman"/>
                <w:snapToGrid w:val="0"/>
                <w:spacing w:val="-6"/>
                <w:kern w:val="21"/>
                <w:szCs w:val="21"/>
              </w:rPr>
              <w:fldChar w:fldCharType="end"/>
            </w:r>
          </w:p>
        </w:tc>
        <w:tc>
          <w:tcPr>
            <w:tcW w:w="1274"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cs="宋体"/>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69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③</w:t>
            </w:r>
            <w:r>
              <w:rPr>
                <w:rFonts w:ascii="Times New Roman" w:hAnsi="Times New Roman" w:eastAsia="黑体" w:cs="Times New Roman"/>
                <w:snapToGrid w:val="0"/>
                <w:spacing w:val="-6"/>
                <w:kern w:val="21"/>
                <w:szCs w:val="21"/>
              </w:rPr>
              <w:fldChar w:fldCharType="end"/>
            </w:r>
          </w:p>
        </w:tc>
        <w:tc>
          <w:tcPr>
            <w:tcW w:w="155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④</w:t>
            </w:r>
            <w:r>
              <w:rPr>
                <w:rFonts w:ascii="Times New Roman" w:hAnsi="Times New Roman" w:eastAsia="黑体" w:cs="Times New Roman"/>
                <w:snapToGrid w:val="0"/>
                <w:spacing w:val="-6"/>
                <w:kern w:val="21"/>
                <w:szCs w:val="21"/>
              </w:rPr>
              <w:fldChar w:fldCharType="end"/>
            </w:r>
          </w:p>
        </w:tc>
        <w:tc>
          <w:tcPr>
            <w:tcW w:w="175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⑤</w:t>
            </w:r>
            <w:r>
              <w:rPr>
                <w:rFonts w:ascii="Times New Roman" w:hAnsi="Times New Roman" w:eastAsia="黑体" w:cs="Times New Roman"/>
                <w:snapToGrid w:val="0"/>
                <w:spacing w:val="-16"/>
                <w:kern w:val="21"/>
                <w:szCs w:val="21"/>
              </w:rPr>
              <w:fldChar w:fldCharType="end"/>
            </w:r>
          </w:p>
        </w:tc>
        <w:tc>
          <w:tcPr>
            <w:tcW w:w="149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pPr>
              <w:pStyle w:val="30"/>
              <w:spacing w:before="31" w:line="360" w:lineRule="exact"/>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cs="宋体"/>
                <w:szCs w:val="21"/>
              </w:rPr>
              <w:t>⑥</w:t>
            </w:r>
            <w:r>
              <w:rPr>
                <w:rFonts w:ascii="Times New Roman" w:hAnsi="Times New Roman" w:eastAsia="黑体" w:cs="Times New Roman"/>
                <w:snapToGrid w:val="0"/>
                <w:spacing w:val="-16"/>
                <w:kern w:val="21"/>
                <w:szCs w:val="21"/>
              </w:rPr>
              <w:fldChar w:fldCharType="end"/>
            </w:r>
          </w:p>
        </w:tc>
        <w:tc>
          <w:tcPr>
            <w:tcW w:w="1284"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pPr>
              <w:pStyle w:val="30"/>
              <w:spacing w:before="31" w:line="360" w:lineRule="exac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cs="宋体"/>
                <w:szCs w:val="21"/>
              </w:rPr>
              <w:t>⑦</w:t>
            </w:r>
            <w:r>
              <w:rPr>
                <w:rFonts w:ascii="Times New Roman" w:hAnsi="Times New Roman" w:eastAsia="黑体" w:cs="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top w:val="single" w:color="auto" w:sz="4" w:space="0"/>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锅炉废气量</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vertAlign w:val="superscript"/>
              </w:rPr>
            </w:pPr>
            <w:r>
              <w:rPr>
                <w:rFonts w:hint="eastAsia"/>
                <w:sz w:val="18"/>
                <w:szCs w:val="18"/>
              </w:rPr>
              <w:t>119.6万m</w:t>
            </w:r>
            <w:r>
              <w:rPr>
                <w:rFonts w:hint="eastAsia"/>
                <w:sz w:val="18"/>
                <w:szCs w:val="18"/>
                <w:vertAlign w:val="superscript"/>
              </w:rPr>
              <w:t>3</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vertAlign w:val="superscript"/>
              </w:rPr>
            </w:pPr>
            <w:r>
              <w:rPr>
                <w:rFonts w:hint="eastAsia"/>
                <w:sz w:val="18"/>
                <w:szCs w:val="18"/>
              </w:rPr>
              <w:t>119.6万m</w:t>
            </w:r>
            <w:r>
              <w:rPr>
                <w:rFonts w:hint="eastAsia"/>
                <w:sz w:val="18"/>
                <w:szCs w:val="18"/>
                <w:vertAlign w:val="superscript"/>
              </w:rPr>
              <w:t>3</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SO</w:t>
            </w:r>
            <w:r>
              <w:rPr>
                <w:rFonts w:ascii="Times New Roman" w:hAnsi="Times New Roman" w:cs="Times New Roman"/>
                <w:snapToGrid w:val="0"/>
                <w:kern w:val="21"/>
                <w:sz w:val="18"/>
                <w:szCs w:val="18"/>
                <w:vertAlign w:val="subscript"/>
              </w:rPr>
              <w:t>2</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0.0044t/a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0.0044t/a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ascii="Times New Roman" w:hAnsi="Times New Roman" w:cs="Times New Roman"/>
                <w:snapToGrid w:val="0"/>
                <w:kern w:val="21"/>
                <w:sz w:val="18"/>
                <w:szCs w:val="18"/>
              </w:rPr>
              <w:t>NO</w:t>
            </w:r>
            <w:r>
              <w:rPr>
                <w:rFonts w:ascii="Times New Roman" w:hAnsi="Times New Roman" w:cs="Times New Roman"/>
                <w:snapToGrid w:val="0"/>
                <w:kern w:val="21"/>
                <w:sz w:val="18"/>
                <w:szCs w:val="18"/>
                <w:vertAlign w:val="subscript"/>
              </w:rPr>
              <w:t>x</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0.0525t/a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0.0525t/a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CO</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0.0097t/a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0.0097t/a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r>
              <w:rPr>
                <w:rFonts w:hint="eastAsia" w:ascii="Times New Roman" w:hAnsi="Times New Roman" w:cs="Times New Roman"/>
                <w:snapToGrid w:val="0"/>
                <w:kern w:val="21"/>
                <w:sz w:val="18"/>
                <w:szCs w:val="18"/>
              </w:rPr>
              <w:t>烟尘</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0.0044t/a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0.0044t/a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hint="eastAsia" w:ascii="Times New Roman" w:hAnsi="Times New Roman" w:cs="Times New Roman"/>
                <w:snapToGrid w:val="0"/>
                <w:kern w:val="21"/>
                <w:szCs w:val="21"/>
              </w:rPr>
              <w:t>一般工业</w:t>
            </w:r>
          </w:p>
          <w:p>
            <w:pPr>
              <w:pStyle w:val="30"/>
              <w:spacing w:before="31" w:line="360" w:lineRule="exact"/>
              <w:rPr>
                <w:rFonts w:ascii="Times New Roman" w:hAnsi="Times New Roman" w:cs="Times New Roman"/>
                <w:snapToGrid w:val="0"/>
                <w:kern w:val="21"/>
                <w:szCs w:val="21"/>
              </w:rPr>
            </w:pPr>
            <w:r>
              <w:rPr>
                <w:rFonts w:hint="eastAsia" w:ascii="Times New Roman" w:hAnsi="Times New Roman" w:cs="Times New Roman"/>
                <w:snapToGrid w:val="0"/>
                <w:kern w:val="21"/>
                <w:szCs w:val="21"/>
              </w:rPr>
              <w:t>固体废物</w:t>
            </w:r>
          </w:p>
        </w:tc>
        <w:tc>
          <w:tcPr>
            <w:tcW w:w="1415"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废离子交换树脂</w:t>
            </w: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ind w:left="-105" w:leftChars="-50" w:right="-105" w:rightChars="-50"/>
              <w:rPr>
                <w:rFonts w:ascii="Times New Roman" w:hAnsi="Times New Roman" w:cs="Times New Roman"/>
                <w:sz w:val="18"/>
                <w:szCs w:val="18"/>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ind w:left="-105" w:leftChars="-50" w:right="-105" w:rightChars="-50"/>
              <w:rPr>
                <w:rFonts w:ascii="Times New Roman" w:hAnsi="Times New Roman" w:cs="Times New Roman"/>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ind w:left="-105" w:leftChars="-50" w:right="-105" w:rightChars="-50"/>
              <w:rPr>
                <w:rFonts w:ascii="Times New Roman" w:hAnsi="Times New Roman" w:cs="Times New Roman"/>
                <w:sz w:val="18"/>
                <w:szCs w:val="18"/>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0.1t/a</w:t>
            </w: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0.1t/a</w:t>
            </w: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restart"/>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 w:hRule="atLeast"/>
        </w:trPr>
        <w:tc>
          <w:tcPr>
            <w:tcW w:w="1585" w:type="dxa"/>
            <w:vMerge w:val="continue"/>
            <w:tcBorders>
              <w:left w:val="single" w:color="auto" w:sz="8"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415"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 w:val="18"/>
                <w:szCs w:val="18"/>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274"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698" w:type="dxa"/>
            <w:tcBorders>
              <w:top w:val="single" w:color="auto" w:sz="4" w:space="0"/>
              <w:left w:val="single" w:color="auto" w:sz="4" w:space="0"/>
              <w:bottom w:val="single" w:color="auto" w:sz="4" w:space="0"/>
              <w:right w:val="single" w:color="auto" w:sz="4" w:space="0"/>
            </w:tcBorders>
            <w:vAlign w:val="center"/>
          </w:tcPr>
          <w:p>
            <w:pPr>
              <w:pStyle w:val="30"/>
              <w:spacing w:before="31" w:line="360" w:lineRule="exact"/>
              <w:rPr>
                <w:rFonts w:ascii="Times New Roman" w:hAnsi="Times New Roman" w:cs="Times New Roman"/>
                <w:snapToGrid w:val="0"/>
                <w:kern w:val="21"/>
                <w:szCs w:val="21"/>
              </w:rPr>
            </w:pPr>
          </w:p>
        </w:tc>
        <w:tc>
          <w:tcPr>
            <w:tcW w:w="155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75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49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p>
        </w:tc>
        <w:tc>
          <w:tcPr>
            <w:tcW w:w="1284" w:type="dxa"/>
            <w:tcBorders>
              <w:top w:val="single" w:color="auto" w:sz="4" w:space="0"/>
              <w:left w:val="single" w:color="auto" w:sz="4" w:space="0"/>
              <w:bottom w:val="single" w:color="auto" w:sz="4" w:space="0"/>
              <w:right w:val="single" w:color="auto" w:sz="8" w:space="0"/>
            </w:tcBorders>
            <w:vAlign w:val="center"/>
          </w:tcPr>
          <w:p>
            <w:pPr>
              <w:pStyle w:val="30"/>
              <w:spacing w:before="31" w:line="360" w:lineRule="exact"/>
              <w:rPr>
                <w:rFonts w:ascii="Times New Roman" w:hAnsi="Times New Roman" w:cs="Times New Roman"/>
                <w:snapToGrid w:val="0"/>
                <w:kern w:val="21"/>
                <w:szCs w:val="21"/>
              </w:rPr>
            </w:pPr>
          </w:p>
        </w:tc>
      </w:tr>
    </w:tbl>
    <w:p>
      <w:pPr>
        <w:pStyle w:val="30"/>
        <w:spacing w:before="249" w:beforeLines="80" w:after="24"/>
        <w:jc w:val="left"/>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cs="宋体"/>
          <w:szCs w:val="21"/>
        </w:rPr>
        <w:t>①</w:t>
      </w:r>
      <w:r>
        <w:rPr>
          <w:rFonts w:ascii="Times New Roman" w:hAnsi="Times New Roman" w:cs="Times New Roman"/>
          <w:snapToGrid w:val="0"/>
          <w:spacing w:val="-6"/>
          <w:kern w:val="21"/>
          <w:szCs w:val="21"/>
        </w:rPr>
        <w:fldChar w:fldCharType="end"/>
      </w:r>
    </w:p>
    <w:sectPr>
      <w:footerReference r:id="rId5" w:type="default"/>
      <w:pgSz w:w="16838" w:h="11906" w:orient="landscape"/>
      <w:pgMar w:top="1800" w:right="1440" w:bottom="1800" w:left="1440" w:header="851" w:footer="107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魏碑">
    <w:altName w:val="黑体"/>
    <w:panose1 w:val="00000000000000000000"/>
    <w:charset w:val="86"/>
    <w:family w:val="modern"/>
    <w:pitch w:val="default"/>
    <w:sig w:usb0="00000000" w:usb1="00000000" w:usb2="00000010" w:usb3="00000000" w:csb0="00040000" w:csb1="00000000"/>
  </w:font>
  <w:font w:name="长城楷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31 -</w:t>
    </w:r>
    <w:r>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sz w:val="20"/>
        <w:szCs w:val="20"/>
      </w:rPr>
      <w:fldChar w:fldCharType="begin"/>
    </w:r>
    <w:r>
      <w:rPr>
        <w:sz w:val="20"/>
        <w:szCs w:val="20"/>
      </w:rPr>
      <w:instrText xml:space="preserve">PAGE   \* MERGEFORMAT</w:instrText>
    </w:r>
    <w:r>
      <w:rPr>
        <w:sz w:val="20"/>
        <w:szCs w:val="20"/>
      </w:rPr>
      <w:fldChar w:fldCharType="separate"/>
    </w:r>
    <w:r>
      <w:rPr>
        <w:sz w:val="20"/>
        <w:szCs w:val="20"/>
        <w:lang w:val="zh-CN"/>
      </w:rPr>
      <w:t>-</w:t>
    </w:r>
    <w:r>
      <w:rPr>
        <w:sz w:val="20"/>
        <w:szCs w:val="20"/>
      </w:rPr>
      <w:t xml:space="preserve"> 42 -</w:t>
    </w:r>
    <w:r>
      <w:rPr>
        <w:sz w:val="20"/>
        <w:szCs w:val="20"/>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pStyle w:val="2"/>
      <w:lvlText w:val="%1."/>
      <w:legacy w:legacy="1" w:legacySpace="144" w:legacyIndent="0"/>
      <w:lvlJc w:val="left"/>
      <w:rPr>
        <w:rFonts w:hint="eastAsia" w:ascii="宋体" w:eastAsia="宋体"/>
        <w:b/>
        <w:i w:val="0"/>
        <w:sz w:val="30"/>
      </w:rPr>
    </w:lvl>
    <w:lvl w:ilvl="1" w:tentative="0">
      <w:start w:val="1"/>
      <w:numFmt w:val="decimal"/>
      <w:pStyle w:val="3"/>
      <w:lvlText w:val="%1.%2."/>
      <w:legacy w:legacy="1" w:legacySpace="144" w:legacyIndent="0"/>
      <w:lvlJc w:val="left"/>
      <w:rPr>
        <w:rFonts w:hint="default" w:ascii="Times New Roman" w:hAnsi="Times New Roman"/>
        <w:b w:val="0"/>
        <w:i w:val="0"/>
        <w:sz w:val="28"/>
      </w:rPr>
    </w:lvl>
    <w:lvl w:ilvl="2" w:tentative="0">
      <w:start w:val="1"/>
      <w:numFmt w:val="decimal"/>
      <w:pStyle w:val="4"/>
      <w:lvlText w:val="%1.%2.%3."/>
      <w:legacy w:legacy="1" w:legacySpace="144" w:legacyIndent="0"/>
      <w:lvlJc w:val="left"/>
      <w:rPr>
        <w:rFonts w:hint="default" w:ascii="Times New Roman" w:hAnsi="Times New Roman"/>
        <w:b w:val="0"/>
        <w:i w:val="0"/>
        <w:sz w:val="28"/>
      </w:rPr>
    </w:lvl>
    <w:lvl w:ilvl="3" w:tentative="0">
      <w:start w:val="1"/>
      <w:numFmt w:val="decimal"/>
      <w:pStyle w:val="5"/>
      <w:lvlText w:val="%1.%2.%3.%4."/>
      <w:legacy w:legacy="1" w:legacySpace="144" w:legacyIndent="0"/>
      <w:lvlJc w:val="left"/>
      <w:rPr>
        <w:rFonts w:hint="default" w:ascii="Times New Roman" w:hAnsi="Times New Roman"/>
        <w:b w:val="0"/>
        <w:i w:val="0"/>
        <w:sz w:val="28"/>
      </w:rPr>
    </w:lvl>
    <w:lvl w:ilvl="4" w:tentative="0">
      <w:start w:val="1"/>
      <w:numFmt w:val="decimal"/>
      <w:pStyle w:val="6"/>
      <w:lvlText w:val="%1.%2.%3.%4.%5."/>
      <w:legacy w:legacy="1" w:legacySpace="144" w:legacyIndent="0"/>
      <w:lvlJc w:val="left"/>
      <w:rPr>
        <w:rFonts w:hint="default" w:ascii="Times New Roman" w:hAnsi="Times New Roman"/>
        <w:b w:val="0"/>
        <w:i w:val="0"/>
        <w:sz w:val="24"/>
      </w:rPr>
    </w:lvl>
    <w:lvl w:ilvl="5" w:tentative="0">
      <w:start w:val="1"/>
      <w:numFmt w:val="decimal"/>
      <w:pStyle w:val="7"/>
      <w:lvlText w:val="%1.%2.%3.%4.%5..%6"/>
      <w:legacy w:legacy="1" w:legacySpace="144" w:legacyIndent="0"/>
      <w:lvlJc w:val="left"/>
    </w:lvl>
    <w:lvl w:ilvl="6" w:tentative="0">
      <w:start w:val="1"/>
      <w:numFmt w:val="decimal"/>
      <w:pStyle w:val="8"/>
      <w:lvlText w:val="%1.%2.%3.%4.%5..%6.%7"/>
      <w:legacy w:legacy="1" w:legacySpace="144" w:legacyIndent="0"/>
      <w:lvlJc w:val="left"/>
    </w:lvl>
    <w:lvl w:ilvl="7" w:tentative="0">
      <w:start w:val="1"/>
      <w:numFmt w:val="decimal"/>
      <w:pStyle w:val="9"/>
      <w:lvlText w:val="%1.%2.%3.%4.%5..%6.%7.%8"/>
      <w:legacy w:legacy="1" w:legacySpace="144" w:legacyIndent="0"/>
      <w:lvlJc w:val="left"/>
    </w:lvl>
    <w:lvl w:ilvl="8" w:tentative="0">
      <w:start w:val="1"/>
      <w:numFmt w:val="decimal"/>
      <w:pStyle w:val="10"/>
      <w:lvlText w:val="%1.%2.%3.%4.%5..%6.%7.%8.%9"/>
      <w:legacy w:legacy="1" w:legacySpace="144" w:legacyIndent="0"/>
      <w:lvlJc w:val="left"/>
    </w:lvl>
  </w:abstractNum>
  <w:abstractNum w:abstractNumId="1">
    <w:nsid w:val="342E134E"/>
    <w:multiLevelType w:val="multilevel"/>
    <w:tmpl w:val="342E134E"/>
    <w:lvl w:ilvl="0" w:tentative="0">
      <w:start w:val="1"/>
      <w:numFmt w:val="decimal"/>
      <w:suff w:val="nothing"/>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24917"/>
    <w:rsid w:val="000005F3"/>
    <w:rsid w:val="00001126"/>
    <w:rsid w:val="00001239"/>
    <w:rsid w:val="00001F41"/>
    <w:rsid w:val="00005F0D"/>
    <w:rsid w:val="0000642D"/>
    <w:rsid w:val="00006B41"/>
    <w:rsid w:val="00006F2F"/>
    <w:rsid w:val="000100B9"/>
    <w:rsid w:val="00010B2C"/>
    <w:rsid w:val="00013B5A"/>
    <w:rsid w:val="00014A80"/>
    <w:rsid w:val="00022465"/>
    <w:rsid w:val="00022682"/>
    <w:rsid w:val="00023392"/>
    <w:rsid w:val="00023A67"/>
    <w:rsid w:val="00024DC9"/>
    <w:rsid w:val="000255A9"/>
    <w:rsid w:val="00025C8F"/>
    <w:rsid w:val="00027898"/>
    <w:rsid w:val="00030F9E"/>
    <w:rsid w:val="0003172F"/>
    <w:rsid w:val="0003221D"/>
    <w:rsid w:val="00034212"/>
    <w:rsid w:val="000378F5"/>
    <w:rsid w:val="00041F33"/>
    <w:rsid w:val="00043445"/>
    <w:rsid w:val="00043DD1"/>
    <w:rsid w:val="00044D7B"/>
    <w:rsid w:val="00047329"/>
    <w:rsid w:val="00047869"/>
    <w:rsid w:val="00050FF2"/>
    <w:rsid w:val="00051591"/>
    <w:rsid w:val="00051BCF"/>
    <w:rsid w:val="00051D2D"/>
    <w:rsid w:val="00052909"/>
    <w:rsid w:val="00053281"/>
    <w:rsid w:val="00053CDD"/>
    <w:rsid w:val="00055037"/>
    <w:rsid w:val="0005647D"/>
    <w:rsid w:val="000572C3"/>
    <w:rsid w:val="000576FC"/>
    <w:rsid w:val="00057D5A"/>
    <w:rsid w:val="0006166B"/>
    <w:rsid w:val="00062A03"/>
    <w:rsid w:val="00063382"/>
    <w:rsid w:val="00065EC7"/>
    <w:rsid w:val="00066FFA"/>
    <w:rsid w:val="000676E2"/>
    <w:rsid w:val="00070F92"/>
    <w:rsid w:val="00071BE4"/>
    <w:rsid w:val="00072621"/>
    <w:rsid w:val="00075E37"/>
    <w:rsid w:val="00080B1B"/>
    <w:rsid w:val="000815B2"/>
    <w:rsid w:val="00082AF2"/>
    <w:rsid w:val="00083E53"/>
    <w:rsid w:val="00084FB7"/>
    <w:rsid w:val="000918B7"/>
    <w:rsid w:val="000918FC"/>
    <w:rsid w:val="00093AB3"/>
    <w:rsid w:val="00097359"/>
    <w:rsid w:val="00097629"/>
    <w:rsid w:val="00097888"/>
    <w:rsid w:val="000A09C5"/>
    <w:rsid w:val="000A2BEF"/>
    <w:rsid w:val="000A2EA5"/>
    <w:rsid w:val="000A3102"/>
    <w:rsid w:val="000A7BC5"/>
    <w:rsid w:val="000A7E9F"/>
    <w:rsid w:val="000B0A3A"/>
    <w:rsid w:val="000B0E05"/>
    <w:rsid w:val="000B0FCD"/>
    <w:rsid w:val="000B3963"/>
    <w:rsid w:val="000B3FAA"/>
    <w:rsid w:val="000B64F2"/>
    <w:rsid w:val="000B7AF2"/>
    <w:rsid w:val="000C1CBF"/>
    <w:rsid w:val="000C2296"/>
    <w:rsid w:val="000C233E"/>
    <w:rsid w:val="000C51C5"/>
    <w:rsid w:val="000C6A60"/>
    <w:rsid w:val="000D0A5D"/>
    <w:rsid w:val="000D0C8F"/>
    <w:rsid w:val="000D13D9"/>
    <w:rsid w:val="000D2859"/>
    <w:rsid w:val="000D3A26"/>
    <w:rsid w:val="000D43F4"/>
    <w:rsid w:val="000D50B4"/>
    <w:rsid w:val="000D666C"/>
    <w:rsid w:val="000E2243"/>
    <w:rsid w:val="000E2B35"/>
    <w:rsid w:val="000E39A2"/>
    <w:rsid w:val="000E460D"/>
    <w:rsid w:val="000E5A8E"/>
    <w:rsid w:val="000F1BB8"/>
    <w:rsid w:val="000F31B6"/>
    <w:rsid w:val="000F3543"/>
    <w:rsid w:val="000F5CB0"/>
    <w:rsid w:val="000F7799"/>
    <w:rsid w:val="00100179"/>
    <w:rsid w:val="001003CB"/>
    <w:rsid w:val="00100900"/>
    <w:rsid w:val="00100CF2"/>
    <w:rsid w:val="001019FB"/>
    <w:rsid w:val="0010232D"/>
    <w:rsid w:val="00102EC0"/>
    <w:rsid w:val="00103112"/>
    <w:rsid w:val="00103BD3"/>
    <w:rsid w:val="00103D6C"/>
    <w:rsid w:val="00107B8A"/>
    <w:rsid w:val="00110BE6"/>
    <w:rsid w:val="00110C87"/>
    <w:rsid w:val="00112DB1"/>
    <w:rsid w:val="00114B57"/>
    <w:rsid w:val="00117B82"/>
    <w:rsid w:val="0012096A"/>
    <w:rsid w:val="0012131F"/>
    <w:rsid w:val="00121F84"/>
    <w:rsid w:val="00122C22"/>
    <w:rsid w:val="00122CA2"/>
    <w:rsid w:val="00123727"/>
    <w:rsid w:val="00124917"/>
    <w:rsid w:val="00125D84"/>
    <w:rsid w:val="00125F1D"/>
    <w:rsid w:val="0012757A"/>
    <w:rsid w:val="001302CD"/>
    <w:rsid w:val="00131880"/>
    <w:rsid w:val="00132DE1"/>
    <w:rsid w:val="001339E3"/>
    <w:rsid w:val="00133F69"/>
    <w:rsid w:val="0013756F"/>
    <w:rsid w:val="001414E3"/>
    <w:rsid w:val="00141D5C"/>
    <w:rsid w:val="001441B8"/>
    <w:rsid w:val="00147897"/>
    <w:rsid w:val="00147D58"/>
    <w:rsid w:val="00150BFB"/>
    <w:rsid w:val="00160BD5"/>
    <w:rsid w:val="00161B2C"/>
    <w:rsid w:val="001634C4"/>
    <w:rsid w:val="001635E9"/>
    <w:rsid w:val="001652BF"/>
    <w:rsid w:val="001740DB"/>
    <w:rsid w:val="00174263"/>
    <w:rsid w:val="001742C4"/>
    <w:rsid w:val="001768EA"/>
    <w:rsid w:val="0018123E"/>
    <w:rsid w:val="001815AA"/>
    <w:rsid w:val="001832FF"/>
    <w:rsid w:val="00183EB0"/>
    <w:rsid w:val="00190428"/>
    <w:rsid w:val="00191651"/>
    <w:rsid w:val="00192906"/>
    <w:rsid w:val="001963FC"/>
    <w:rsid w:val="00196678"/>
    <w:rsid w:val="00197F25"/>
    <w:rsid w:val="001A0302"/>
    <w:rsid w:val="001A2D7C"/>
    <w:rsid w:val="001A72BF"/>
    <w:rsid w:val="001B061E"/>
    <w:rsid w:val="001B251A"/>
    <w:rsid w:val="001B4C5D"/>
    <w:rsid w:val="001B5EB9"/>
    <w:rsid w:val="001B7230"/>
    <w:rsid w:val="001B74CA"/>
    <w:rsid w:val="001C3B15"/>
    <w:rsid w:val="001C3E28"/>
    <w:rsid w:val="001C53AB"/>
    <w:rsid w:val="001C5603"/>
    <w:rsid w:val="001C5764"/>
    <w:rsid w:val="001C75E2"/>
    <w:rsid w:val="001D02B5"/>
    <w:rsid w:val="001D1CA8"/>
    <w:rsid w:val="001D2C44"/>
    <w:rsid w:val="001D44F4"/>
    <w:rsid w:val="001D689C"/>
    <w:rsid w:val="001D7C21"/>
    <w:rsid w:val="001D7DAD"/>
    <w:rsid w:val="001E1B92"/>
    <w:rsid w:val="001E439A"/>
    <w:rsid w:val="001E5733"/>
    <w:rsid w:val="001E7EA6"/>
    <w:rsid w:val="001F20A7"/>
    <w:rsid w:val="001F30C5"/>
    <w:rsid w:val="001F3187"/>
    <w:rsid w:val="001F3F24"/>
    <w:rsid w:val="001F4AAB"/>
    <w:rsid w:val="001F5DAB"/>
    <w:rsid w:val="001F6B12"/>
    <w:rsid w:val="001F71F7"/>
    <w:rsid w:val="0020073A"/>
    <w:rsid w:val="002021B7"/>
    <w:rsid w:val="0020323D"/>
    <w:rsid w:val="00204527"/>
    <w:rsid w:val="00204DD3"/>
    <w:rsid w:val="00205454"/>
    <w:rsid w:val="00206613"/>
    <w:rsid w:val="0020677F"/>
    <w:rsid w:val="0020761A"/>
    <w:rsid w:val="00210C67"/>
    <w:rsid w:val="00214FD2"/>
    <w:rsid w:val="00215757"/>
    <w:rsid w:val="00216C8A"/>
    <w:rsid w:val="00217211"/>
    <w:rsid w:val="00221BEE"/>
    <w:rsid w:val="002244A7"/>
    <w:rsid w:val="00225FE1"/>
    <w:rsid w:val="002266DF"/>
    <w:rsid w:val="0023105E"/>
    <w:rsid w:val="00232F41"/>
    <w:rsid w:val="00233935"/>
    <w:rsid w:val="00234385"/>
    <w:rsid w:val="00235482"/>
    <w:rsid w:val="00235BEA"/>
    <w:rsid w:val="00236C7F"/>
    <w:rsid w:val="00240282"/>
    <w:rsid w:val="002420F2"/>
    <w:rsid w:val="00245DEC"/>
    <w:rsid w:val="00245F2D"/>
    <w:rsid w:val="002475A6"/>
    <w:rsid w:val="002520D7"/>
    <w:rsid w:val="00252EAD"/>
    <w:rsid w:val="0025347D"/>
    <w:rsid w:val="002538AF"/>
    <w:rsid w:val="002546C1"/>
    <w:rsid w:val="00255AF5"/>
    <w:rsid w:val="00255C77"/>
    <w:rsid w:val="00257161"/>
    <w:rsid w:val="0025736C"/>
    <w:rsid w:val="00257D24"/>
    <w:rsid w:val="0026087F"/>
    <w:rsid w:val="00260E2B"/>
    <w:rsid w:val="002611E5"/>
    <w:rsid w:val="0026231C"/>
    <w:rsid w:val="0026272B"/>
    <w:rsid w:val="00263420"/>
    <w:rsid w:val="00271F19"/>
    <w:rsid w:val="00273536"/>
    <w:rsid w:val="00274933"/>
    <w:rsid w:val="002816A2"/>
    <w:rsid w:val="00283659"/>
    <w:rsid w:val="00284CA2"/>
    <w:rsid w:val="00287C17"/>
    <w:rsid w:val="00290507"/>
    <w:rsid w:val="0029051C"/>
    <w:rsid w:val="002906F9"/>
    <w:rsid w:val="0029167F"/>
    <w:rsid w:val="002928BE"/>
    <w:rsid w:val="002973C8"/>
    <w:rsid w:val="002A111D"/>
    <w:rsid w:val="002A1DF3"/>
    <w:rsid w:val="002A37EC"/>
    <w:rsid w:val="002A3EDA"/>
    <w:rsid w:val="002B0231"/>
    <w:rsid w:val="002B1717"/>
    <w:rsid w:val="002B1767"/>
    <w:rsid w:val="002B1EBE"/>
    <w:rsid w:val="002B3CC8"/>
    <w:rsid w:val="002B6579"/>
    <w:rsid w:val="002C1831"/>
    <w:rsid w:val="002C2237"/>
    <w:rsid w:val="002C2B5F"/>
    <w:rsid w:val="002C4ECB"/>
    <w:rsid w:val="002C4F6D"/>
    <w:rsid w:val="002C5A08"/>
    <w:rsid w:val="002D01DC"/>
    <w:rsid w:val="002D0D63"/>
    <w:rsid w:val="002D0F85"/>
    <w:rsid w:val="002D791C"/>
    <w:rsid w:val="002E00EB"/>
    <w:rsid w:val="002E217C"/>
    <w:rsid w:val="002E21C5"/>
    <w:rsid w:val="002E3583"/>
    <w:rsid w:val="002E4AE1"/>
    <w:rsid w:val="002F18FB"/>
    <w:rsid w:val="002F2184"/>
    <w:rsid w:val="002F30C7"/>
    <w:rsid w:val="002F32E7"/>
    <w:rsid w:val="002F4984"/>
    <w:rsid w:val="002F4E5D"/>
    <w:rsid w:val="002F74EA"/>
    <w:rsid w:val="003020AB"/>
    <w:rsid w:val="00303ACB"/>
    <w:rsid w:val="00304655"/>
    <w:rsid w:val="003112B6"/>
    <w:rsid w:val="003118D4"/>
    <w:rsid w:val="003134A6"/>
    <w:rsid w:val="003137BB"/>
    <w:rsid w:val="0031387A"/>
    <w:rsid w:val="00315B5E"/>
    <w:rsid w:val="003160D1"/>
    <w:rsid w:val="00316B4C"/>
    <w:rsid w:val="003205AD"/>
    <w:rsid w:val="00320F7B"/>
    <w:rsid w:val="003228B4"/>
    <w:rsid w:val="003232FA"/>
    <w:rsid w:val="00323DB3"/>
    <w:rsid w:val="0032599B"/>
    <w:rsid w:val="00330EC9"/>
    <w:rsid w:val="0033186F"/>
    <w:rsid w:val="00333463"/>
    <w:rsid w:val="00333DAA"/>
    <w:rsid w:val="0033683F"/>
    <w:rsid w:val="00337247"/>
    <w:rsid w:val="00337ED3"/>
    <w:rsid w:val="00337F0B"/>
    <w:rsid w:val="00340120"/>
    <w:rsid w:val="00340269"/>
    <w:rsid w:val="00340917"/>
    <w:rsid w:val="00341A0F"/>
    <w:rsid w:val="00346630"/>
    <w:rsid w:val="00346CA3"/>
    <w:rsid w:val="00350327"/>
    <w:rsid w:val="003536DB"/>
    <w:rsid w:val="00353FBA"/>
    <w:rsid w:val="00354477"/>
    <w:rsid w:val="00356FCA"/>
    <w:rsid w:val="00360CAA"/>
    <w:rsid w:val="003616B1"/>
    <w:rsid w:val="00361F88"/>
    <w:rsid w:val="00363B97"/>
    <w:rsid w:val="00363C95"/>
    <w:rsid w:val="00366E84"/>
    <w:rsid w:val="00367E81"/>
    <w:rsid w:val="003712C3"/>
    <w:rsid w:val="00371AD8"/>
    <w:rsid w:val="00371BE1"/>
    <w:rsid w:val="003734C6"/>
    <w:rsid w:val="003738FD"/>
    <w:rsid w:val="00373FB6"/>
    <w:rsid w:val="0037482E"/>
    <w:rsid w:val="00375C2C"/>
    <w:rsid w:val="00385B19"/>
    <w:rsid w:val="00387512"/>
    <w:rsid w:val="00387AF9"/>
    <w:rsid w:val="00390144"/>
    <w:rsid w:val="0039317E"/>
    <w:rsid w:val="00393693"/>
    <w:rsid w:val="00396CA2"/>
    <w:rsid w:val="00396EAD"/>
    <w:rsid w:val="00397690"/>
    <w:rsid w:val="00397E25"/>
    <w:rsid w:val="003A17FE"/>
    <w:rsid w:val="003A1F19"/>
    <w:rsid w:val="003A257A"/>
    <w:rsid w:val="003A2DEA"/>
    <w:rsid w:val="003A7D3B"/>
    <w:rsid w:val="003B032D"/>
    <w:rsid w:val="003B1D2D"/>
    <w:rsid w:val="003B20B4"/>
    <w:rsid w:val="003B78AC"/>
    <w:rsid w:val="003C442C"/>
    <w:rsid w:val="003C5BA7"/>
    <w:rsid w:val="003C6176"/>
    <w:rsid w:val="003C62D7"/>
    <w:rsid w:val="003C6789"/>
    <w:rsid w:val="003D1483"/>
    <w:rsid w:val="003D23AC"/>
    <w:rsid w:val="003D262E"/>
    <w:rsid w:val="003D3072"/>
    <w:rsid w:val="003D646C"/>
    <w:rsid w:val="003E0D39"/>
    <w:rsid w:val="003E1D1A"/>
    <w:rsid w:val="003E3F51"/>
    <w:rsid w:val="003E5D90"/>
    <w:rsid w:val="003F1307"/>
    <w:rsid w:val="003F24F5"/>
    <w:rsid w:val="003F270A"/>
    <w:rsid w:val="003F4DC5"/>
    <w:rsid w:val="003F62EC"/>
    <w:rsid w:val="00400A62"/>
    <w:rsid w:val="004015D8"/>
    <w:rsid w:val="00402B2A"/>
    <w:rsid w:val="00402B4B"/>
    <w:rsid w:val="00404166"/>
    <w:rsid w:val="00405B6A"/>
    <w:rsid w:val="004066F4"/>
    <w:rsid w:val="00407507"/>
    <w:rsid w:val="00410079"/>
    <w:rsid w:val="00410C88"/>
    <w:rsid w:val="00414703"/>
    <w:rsid w:val="004229B0"/>
    <w:rsid w:val="00422E6A"/>
    <w:rsid w:val="00423701"/>
    <w:rsid w:val="00423A1D"/>
    <w:rsid w:val="00423E8C"/>
    <w:rsid w:val="004240EF"/>
    <w:rsid w:val="00424C13"/>
    <w:rsid w:val="00425E64"/>
    <w:rsid w:val="004265EC"/>
    <w:rsid w:val="00426E73"/>
    <w:rsid w:val="004271F6"/>
    <w:rsid w:val="00430777"/>
    <w:rsid w:val="0043230B"/>
    <w:rsid w:val="00432956"/>
    <w:rsid w:val="004344E8"/>
    <w:rsid w:val="0043634D"/>
    <w:rsid w:val="0043769D"/>
    <w:rsid w:val="00440E47"/>
    <w:rsid w:val="0044285E"/>
    <w:rsid w:val="00442E72"/>
    <w:rsid w:val="00450054"/>
    <w:rsid w:val="00451FAE"/>
    <w:rsid w:val="0045380F"/>
    <w:rsid w:val="004540F1"/>
    <w:rsid w:val="0045502E"/>
    <w:rsid w:val="00456944"/>
    <w:rsid w:val="00456CEF"/>
    <w:rsid w:val="00456ECD"/>
    <w:rsid w:val="00457666"/>
    <w:rsid w:val="004603A5"/>
    <w:rsid w:val="00462F62"/>
    <w:rsid w:val="00463BA7"/>
    <w:rsid w:val="00463C46"/>
    <w:rsid w:val="00465534"/>
    <w:rsid w:val="0046786E"/>
    <w:rsid w:val="004705D0"/>
    <w:rsid w:val="00472053"/>
    <w:rsid w:val="00472A79"/>
    <w:rsid w:val="00472E68"/>
    <w:rsid w:val="004741FE"/>
    <w:rsid w:val="00475221"/>
    <w:rsid w:val="0047638A"/>
    <w:rsid w:val="00482859"/>
    <w:rsid w:val="00483414"/>
    <w:rsid w:val="00484143"/>
    <w:rsid w:val="00486584"/>
    <w:rsid w:val="004906B3"/>
    <w:rsid w:val="0049304E"/>
    <w:rsid w:val="004964E3"/>
    <w:rsid w:val="00496C50"/>
    <w:rsid w:val="004A3F78"/>
    <w:rsid w:val="004A7111"/>
    <w:rsid w:val="004A7763"/>
    <w:rsid w:val="004B054C"/>
    <w:rsid w:val="004B2D4C"/>
    <w:rsid w:val="004B2DF0"/>
    <w:rsid w:val="004B3C31"/>
    <w:rsid w:val="004B4ACF"/>
    <w:rsid w:val="004B52F9"/>
    <w:rsid w:val="004B5B6F"/>
    <w:rsid w:val="004B6E79"/>
    <w:rsid w:val="004B7E78"/>
    <w:rsid w:val="004C31E9"/>
    <w:rsid w:val="004C4695"/>
    <w:rsid w:val="004C69CE"/>
    <w:rsid w:val="004D0A20"/>
    <w:rsid w:val="004D4616"/>
    <w:rsid w:val="004E488C"/>
    <w:rsid w:val="004E524E"/>
    <w:rsid w:val="004E5821"/>
    <w:rsid w:val="004E5970"/>
    <w:rsid w:val="004E5B87"/>
    <w:rsid w:val="004E5DCB"/>
    <w:rsid w:val="004E5DED"/>
    <w:rsid w:val="004E640E"/>
    <w:rsid w:val="004E66A0"/>
    <w:rsid w:val="004E7E3C"/>
    <w:rsid w:val="004E7E80"/>
    <w:rsid w:val="004F2CD6"/>
    <w:rsid w:val="004F5206"/>
    <w:rsid w:val="004F585D"/>
    <w:rsid w:val="004F60E8"/>
    <w:rsid w:val="004F6F35"/>
    <w:rsid w:val="0050012C"/>
    <w:rsid w:val="00507024"/>
    <w:rsid w:val="005074DF"/>
    <w:rsid w:val="00510ADB"/>
    <w:rsid w:val="00514BE9"/>
    <w:rsid w:val="0051587C"/>
    <w:rsid w:val="0051712B"/>
    <w:rsid w:val="00517C95"/>
    <w:rsid w:val="005219E5"/>
    <w:rsid w:val="0052218B"/>
    <w:rsid w:val="005248DE"/>
    <w:rsid w:val="00525606"/>
    <w:rsid w:val="00526CBE"/>
    <w:rsid w:val="00526D3A"/>
    <w:rsid w:val="00530046"/>
    <w:rsid w:val="00531332"/>
    <w:rsid w:val="00534B0F"/>
    <w:rsid w:val="005364F5"/>
    <w:rsid w:val="00541812"/>
    <w:rsid w:val="00544830"/>
    <w:rsid w:val="00547163"/>
    <w:rsid w:val="00550F76"/>
    <w:rsid w:val="00554228"/>
    <w:rsid w:val="0055451C"/>
    <w:rsid w:val="005546EC"/>
    <w:rsid w:val="005553B1"/>
    <w:rsid w:val="005612F9"/>
    <w:rsid w:val="0056141F"/>
    <w:rsid w:val="00561BB1"/>
    <w:rsid w:val="00561E7B"/>
    <w:rsid w:val="00565E9A"/>
    <w:rsid w:val="005660A1"/>
    <w:rsid w:val="005671ED"/>
    <w:rsid w:val="00567D1B"/>
    <w:rsid w:val="00567FCF"/>
    <w:rsid w:val="00571D90"/>
    <w:rsid w:val="00574B24"/>
    <w:rsid w:val="0057554B"/>
    <w:rsid w:val="00575B98"/>
    <w:rsid w:val="00575EE8"/>
    <w:rsid w:val="00576EA0"/>
    <w:rsid w:val="005807F0"/>
    <w:rsid w:val="0058146E"/>
    <w:rsid w:val="00584518"/>
    <w:rsid w:val="00585614"/>
    <w:rsid w:val="00585C62"/>
    <w:rsid w:val="00585DEE"/>
    <w:rsid w:val="00590C7B"/>
    <w:rsid w:val="00594757"/>
    <w:rsid w:val="005966DF"/>
    <w:rsid w:val="0059697D"/>
    <w:rsid w:val="005A25AA"/>
    <w:rsid w:val="005A3C4B"/>
    <w:rsid w:val="005A4BE7"/>
    <w:rsid w:val="005A5BC3"/>
    <w:rsid w:val="005A6D3D"/>
    <w:rsid w:val="005A7DCE"/>
    <w:rsid w:val="005B0F83"/>
    <w:rsid w:val="005B187F"/>
    <w:rsid w:val="005B2D09"/>
    <w:rsid w:val="005B3404"/>
    <w:rsid w:val="005B6CDF"/>
    <w:rsid w:val="005B705B"/>
    <w:rsid w:val="005C2C98"/>
    <w:rsid w:val="005C2D8B"/>
    <w:rsid w:val="005C4EFA"/>
    <w:rsid w:val="005C5536"/>
    <w:rsid w:val="005C6468"/>
    <w:rsid w:val="005C7A43"/>
    <w:rsid w:val="005C7DB7"/>
    <w:rsid w:val="005D0366"/>
    <w:rsid w:val="005D44DC"/>
    <w:rsid w:val="005D5D00"/>
    <w:rsid w:val="005D6383"/>
    <w:rsid w:val="005D653E"/>
    <w:rsid w:val="005D70B8"/>
    <w:rsid w:val="005D7129"/>
    <w:rsid w:val="005D7D62"/>
    <w:rsid w:val="005E1830"/>
    <w:rsid w:val="005E4A8E"/>
    <w:rsid w:val="005E6A85"/>
    <w:rsid w:val="005F057C"/>
    <w:rsid w:val="005F201E"/>
    <w:rsid w:val="005F3581"/>
    <w:rsid w:val="005F49A7"/>
    <w:rsid w:val="005F4EF8"/>
    <w:rsid w:val="005F5F6D"/>
    <w:rsid w:val="005F7B3D"/>
    <w:rsid w:val="006003C7"/>
    <w:rsid w:val="00606ED0"/>
    <w:rsid w:val="00607793"/>
    <w:rsid w:val="00607D01"/>
    <w:rsid w:val="006100B5"/>
    <w:rsid w:val="006108BA"/>
    <w:rsid w:val="00610DFF"/>
    <w:rsid w:val="00612DA3"/>
    <w:rsid w:val="0061399A"/>
    <w:rsid w:val="00613C21"/>
    <w:rsid w:val="006148F0"/>
    <w:rsid w:val="00614B95"/>
    <w:rsid w:val="00615A9D"/>
    <w:rsid w:val="006163BE"/>
    <w:rsid w:val="00616829"/>
    <w:rsid w:val="00616FAC"/>
    <w:rsid w:val="00617D95"/>
    <w:rsid w:val="00620AEF"/>
    <w:rsid w:val="00621CA1"/>
    <w:rsid w:val="006228CD"/>
    <w:rsid w:val="00626252"/>
    <w:rsid w:val="006265A5"/>
    <w:rsid w:val="00626652"/>
    <w:rsid w:val="00626C46"/>
    <w:rsid w:val="00627AB9"/>
    <w:rsid w:val="00627E12"/>
    <w:rsid w:val="00630860"/>
    <w:rsid w:val="0063379B"/>
    <w:rsid w:val="00633ABF"/>
    <w:rsid w:val="00633CBB"/>
    <w:rsid w:val="00636715"/>
    <w:rsid w:val="006408BF"/>
    <w:rsid w:val="006414AF"/>
    <w:rsid w:val="00641E54"/>
    <w:rsid w:val="0064304D"/>
    <w:rsid w:val="00646AB2"/>
    <w:rsid w:val="00646C65"/>
    <w:rsid w:val="00647D44"/>
    <w:rsid w:val="00653385"/>
    <w:rsid w:val="006533F9"/>
    <w:rsid w:val="00655E0B"/>
    <w:rsid w:val="00656BE5"/>
    <w:rsid w:val="0066053A"/>
    <w:rsid w:val="00660BC3"/>
    <w:rsid w:val="006629A2"/>
    <w:rsid w:val="0066433B"/>
    <w:rsid w:val="006644E0"/>
    <w:rsid w:val="006650D4"/>
    <w:rsid w:val="006665B0"/>
    <w:rsid w:val="006731BD"/>
    <w:rsid w:val="0067537C"/>
    <w:rsid w:val="00676404"/>
    <w:rsid w:val="006777A4"/>
    <w:rsid w:val="00681794"/>
    <w:rsid w:val="006820AB"/>
    <w:rsid w:val="00684641"/>
    <w:rsid w:val="00684944"/>
    <w:rsid w:val="0068513D"/>
    <w:rsid w:val="006851F1"/>
    <w:rsid w:val="00685DA4"/>
    <w:rsid w:val="00686362"/>
    <w:rsid w:val="00686F7F"/>
    <w:rsid w:val="006904FF"/>
    <w:rsid w:val="0069244F"/>
    <w:rsid w:val="0069395D"/>
    <w:rsid w:val="00695AFC"/>
    <w:rsid w:val="00695D62"/>
    <w:rsid w:val="00696DF7"/>
    <w:rsid w:val="00697949"/>
    <w:rsid w:val="00697E41"/>
    <w:rsid w:val="006A4017"/>
    <w:rsid w:val="006A4F0A"/>
    <w:rsid w:val="006A5307"/>
    <w:rsid w:val="006B0460"/>
    <w:rsid w:val="006B1FD0"/>
    <w:rsid w:val="006B2918"/>
    <w:rsid w:val="006B2AEF"/>
    <w:rsid w:val="006B2C5D"/>
    <w:rsid w:val="006B326B"/>
    <w:rsid w:val="006B36B4"/>
    <w:rsid w:val="006B3C6E"/>
    <w:rsid w:val="006B4C6F"/>
    <w:rsid w:val="006B665D"/>
    <w:rsid w:val="006B7216"/>
    <w:rsid w:val="006B7D68"/>
    <w:rsid w:val="006C0C4A"/>
    <w:rsid w:val="006C2EEE"/>
    <w:rsid w:val="006C48AC"/>
    <w:rsid w:val="006C48F7"/>
    <w:rsid w:val="006C7C0E"/>
    <w:rsid w:val="006C7F55"/>
    <w:rsid w:val="006D0953"/>
    <w:rsid w:val="006D12B8"/>
    <w:rsid w:val="006D4713"/>
    <w:rsid w:val="006D7AC8"/>
    <w:rsid w:val="006E32B3"/>
    <w:rsid w:val="006E56E3"/>
    <w:rsid w:val="006E5C42"/>
    <w:rsid w:val="006E64D8"/>
    <w:rsid w:val="006F1B96"/>
    <w:rsid w:val="006F4FAF"/>
    <w:rsid w:val="006F7BC3"/>
    <w:rsid w:val="00703198"/>
    <w:rsid w:val="00705DF6"/>
    <w:rsid w:val="007062A3"/>
    <w:rsid w:val="00706D38"/>
    <w:rsid w:val="0070739B"/>
    <w:rsid w:val="00707550"/>
    <w:rsid w:val="00710569"/>
    <w:rsid w:val="0071068A"/>
    <w:rsid w:val="007135F3"/>
    <w:rsid w:val="00713E79"/>
    <w:rsid w:val="007169F0"/>
    <w:rsid w:val="0071707A"/>
    <w:rsid w:val="0071790F"/>
    <w:rsid w:val="00717C1A"/>
    <w:rsid w:val="00720958"/>
    <w:rsid w:val="00721051"/>
    <w:rsid w:val="00721E78"/>
    <w:rsid w:val="0072253A"/>
    <w:rsid w:val="0072382C"/>
    <w:rsid w:val="00724EEF"/>
    <w:rsid w:val="0072525E"/>
    <w:rsid w:val="007277ED"/>
    <w:rsid w:val="00727CD8"/>
    <w:rsid w:val="00737B78"/>
    <w:rsid w:val="00742632"/>
    <w:rsid w:val="00743FF6"/>
    <w:rsid w:val="00744BB5"/>
    <w:rsid w:val="00746438"/>
    <w:rsid w:val="00753B7C"/>
    <w:rsid w:val="007545C0"/>
    <w:rsid w:val="00754806"/>
    <w:rsid w:val="0075641E"/>
    <w:rsid w:val="007610A7"/>
    <w:rsid w:val="00763B05"/>
    <w:rsid w:val="00764426"/>
    <w:rsid w:val="007652DE"/>
    <w:rsid w:val="0076535A"/>
    <w:rsid w:val="00767E9A"/>
    <w:rsid w:val="00770F26"/>
    <w:rsid w:val="007725C4"/>
    <w:rsid w:val="0077476D"/>
    <w:rsid w:val="00774B2A"/>
    <w:rsid w:val="0077506C"/>
    <w:rsid w:val="00775A07"/>
    <w:rsid w:val="00775EC2"/>
    <w:rsid w:val="00776512"/>
    <w:rsid w:val="00777268"/>
    <w:rsid w:val="0077738C"/>
    <w:rsid w:val="007775DF"/>
    <w:rsid w:val="0078503F"/>
    <w:rsid w:val="0078590C"/>
    <w:rsid w:val="007906CF"/>
    <w:rsid w:val="00790DD0"/>
    <w:rsid w:val="00791588"/>
    <w:rsid w:val="00791BC4"/>
    <w:rsid w:val="00795E5E"/>
    <w:rsid w:val="00796E5F"/>
    <w:rsid w:val="007A028F"/>
    <w:rsid w:val="007A173F"/>
    <w:rsid w:val="007A2185"/>
    <w:rsid w:val="007A41FB"/>
    <w:rsid w:val="007A4717"/>
    <w:rsid w:val="007A4D2B"/>
    <w:rsid w:val="007B1D26"/>
    <w:rsid w:val="007B38D5"/>
    <w:rsid w:val="007B3FE9"/>
    <w:rsid w:val="007B49A4"/>
    <w:rsid w:val="007B50C4"/>
    <w:rsid w:val="007B55D0"/>
    <w:rsid w:val="007B7CD0"/>
    <w:rsid w:val="007C05CC"/>
    <w:rsid w:val="007C0682"/>
    <w:rsid w:val="007C2CDA"/>
    <w:rsid w:val="007C2EEA"/>
    <w:rsid w:val="007C7A45"/>
    <w:rsid w:val="007D12D3"/>
    <w:rsid w:val="007D411C"/>
    <w:rsid w:val="007D4D09"/>
    <w:rsid w:val="007E25C2"/>
    <w:rsid w:val="007E304C"/>
    <w:rsid w:val="007E371B"/>
    <w:rsid w:val="007E4D2E"/>
    <w:rsid w:val="007E4DF6"/>
    <w:rsid w:val="007E624D"/>
    <w:rsid w:val="007E7504"/>
    <w:rsid w:val="007F1696"/>
    <w:rsid w:val="007F1C65"/>
    <w:rsid w:val="007F2ECA"/>
    <w:rsid w:val="007F3361"/>
    <w:rsid w:val="007F5A73"/>
    <w:rsid w:val="007F6D97"/>
    <w:rsid w:val="00806367"/>
    <w:rsid w:val="00806740"/>
    <w:rsid w:val="00810249"/>
    <w:rsid w:val="008104F1"/>
    <w:rsid w:val="0081067F"/>
    <w:rsid w:val="00811432"/>
    <w:rsid w:val="008130CC"/>
    <w:rsid w:val="008139E9"/>
    <w:rsid w:val="00814731"/>
    <w:rsid w:val="00816668"/>
    <w:rsid w:val="00817157"/>
    <w:rsid w:val="00821805"/>
    <w:rsid w:val="0082273F"/>
    <w:rsid w:val="008239D0"/>
    <w:rsid w:val="00823CA2"/>
    <w:rsid w:val="0082412F"/>
    <w:rsid w:val="00824B2E"/>
    <w:rsid w:val="00826084"/>
    <w:rsid w:val="008313F7"/>
    <w:rsid w:val="00833800"/>
    <w:rsid w:val="008351AE"/>
    <w:rsid w:val="00847F67"/>
    <w:rsid w:val="00853489"/>
    <w:rsid w:val="00856260"/>
    <w:rsid w:val="00860ABF"/>
    <w:rsid w:val="00862A64"/>
    <w:rsid w:val="00862B15"/>
    <w:rsid w:val="00863258"/>
    <w:rsid w:val="00863A5F"/>
    <w:rsid w:val="00863F8D"/>
    <w:rsid w:val="0086524A"/>
    <w:rsid w:val="008661BD"/>
    <w:rsid w:val="00873ABA"/>
    <w:rsid w:val="00873FBA"/>
    <w:rsid w:val="008745E2"/>
    <w:rsid w:val="00874BE3"/>
    <w:rsid w:val="008758F9"/>
    <w:rsid w:val="0087733B"/>
    <w:rsid w:val="00877777"/>
    <w:rsid w:val="00880A19"/>
    <w:rsid w:val="00881D5D"/>
    <w:rsid w:val="008846DC"/>
    <w:rsid w:val="00886897"/>
    <w:rsid w:val="00886F05"/>
    <w:rsid w:val="00887DEF"/>
    <w:rsid w:val="0089226F"/>
    <w:rsid w:val="00893D06"/>
    <w:rsid w:val="00894962"/>
    <w:rsid w:val="00895879"/>
    <w:rsid w:val="00895E0A"/>
    <w:rsid w:val="00895E48"/>
    <w:rsid w:val="0089635E"/>
    <w:rsid w:val="008971A6"/>
    <w:rsid w:val="0089730C"/>
    <w:rsid w:val="0089795E"/>
    <w:rsid w:val="00897B22"/>
    <w:rsid w:val="008A1D01"/>
    <w:rsid w:val="008A26A5"/>
    <w:rsid w:val="008A3327"/>
    <w:rsid w:val="008A511D"/>
    <w:rsid w:val="008A54CE"/>
    <w:rsid w:val="008A5792"/>
    <w:rsid w:val="008A5C75"/>
    <w:rsid w:val="008B4BF0"/>
    <w:rsid w:val="008B7866"/>
    <w:rsid w:val="008C04D7"/>
    <w:rsid w:val="008C334D"/>
    <w:rsid w:val="008C33D6"/>
    <w:rsid w:val="008C4803"/>
    <w:rsid w:val="008C63F4"/>
    <w:rsid w:val="008C7961"/>
    <w:rsid w:val="008D0309"/>
    <w:rsid w:val="008D2FB5"/>
    <w:rsid w:val="008D3EA4"/>
    <w:rsid w:val="008D5634"/>
    <w:rsid w:val="008E0506"/>
    <w:rsid w:val="008E233E"/>
    <w:rsid w:val="008E366F"/>
    <w:rsid w:val="008E4CD0"/>
    <w:rsid w:val="008E5013"/>
    <w:rsid w:val="008E5BCF"/>
    <w:rsid w:val="008E5F9F"/>
    <w:rsid w:val="008E5FA6"/>
    <w:rsid w:val="008E787F"/>
    <w:rsid w:val="008F0B20"/>
    <w:rsid w:val="008F670A"/>
    <w:rsid w:val="0090050E"/>
    <w:rsid w:val="00900862"/>
    <w:rsid w:val="00901AE1"/>
    <w:rsid w:val="009042FF"/>
    <w:rsid w:val="00905A07"/>
    <w:rsid w:val="00905B48"/>
    <w:rsid w:val="00905F5B"/>
    <w:rsid w:val="00906649"/>
    <w:rsid w:val="00907A73"/>
    <w:rsid w:val="00913559"/>
    <w:rsid w:val="00913A89"/>
    <w:rsid w:val="00914559"/>
    <w:rsid w:val="00916C60"/>
    <w:rsid w:val="009178A9"/>
    <w:rsid w:val="0092271C"/>
    <w:rsid w:val="0092277E"/>
    <w:rsid w:val="00922D99"/>
    <w:rsid w:val="009232DF"/>
    <w:rsid w:val="00923ADE"/>
    <w:rsid w:val="009244BC"/>
    <w:rsid w:val="00925AB2"/>
    <w:rsid w:val="009278D0"/>
    <w:rsid w:val="00927BB6"/>
    <w:rsid w:val="009303C5"/>
    <w:rsid w:val="009335C9"/>
    <w:rsid w:val="00936D31"/>
    <w:rsid w:val="00953B73"/>
    <w:rsid w:val="00956DD3"/>
    <w:rsid w:val="009600EF"/>
    <w:rsid w:val="00960685"/>
    <w:rsid w:val="00963A98"/>
    <w:rsid w:val="00963BC7"/>
    <w:rsid w:val="00964885"/>
    <w:rsid w:val="0096509F"/>
    <w:rsid w:val="0096515C"/>
    <w:rsid w:val="00967B2A"/>
    <w:rsid w:val="00983F45"/>
    <w:rsid w:val="00985776"/>
    <w:rsid w:val="00985A45"/>
    <w:rsid w:val="00987862"/>
    <w:rsid w:val="00987F8E"/>
    <w:rsid w:val="00990580"/>
    <w:rsid w:val="00995C8C"/>
    <w:rsid w:val="00995DD2"/>
    <w:rsid w:val="009969C8"/>
    <w:rsid w:val="00996A85"/>
    <w:rsid w:val="00996B71"/>
    <w:rsid w:val="00997768"/>
    <w:rsid w:val="009A08B7"/>
    <w:rsid w:val="009A14D1"/>
    <w:rsid w:val="009A1A8B"/>
    <w:rsid w:val="009A2290"/>
    <w:rsid w:val="009A2650"/>
    <w:rsid w:val="009A385B"/>
    <w:rsid w:val="009A3DF6"/>
    <w:rsid w:val="009A4A3C"/>
    <w:rsid w:val="009A6B37"/>
    <w:rsid w:val="009B098A"/>
    <w:rsid w:val="009B0A6B"/>
    <w:rsid w:val="009B3D5C"/>
    <w:rsid w:val="009B56BC"/>
    <w:rsid w:val="009B5AEF"/>
    <w:rsid w:val="009B61A7"/>
    <w:rsid w:val="009C082B"/>
    <w:rsid w:val="009C2C0C"/>
    <w:rsid w:val="009C4264"/>
    <w:rsid w:val="009C6EC2"/>
    <w:rsid w:val="009D0067"/>
    <w:rsid w:val="009D3DA8"/>
    <w:rsid w:val="009D6CEC"/>
    <w:rsid w:val="009E334C"/>
    <w:rsid w:val="009E75C7"/>
    <w:rsid w:val="009F0AC6"/>
    <w:rsid w:val="009F2295"/>
    <w:rsid w:val="009F4A21"/>
    <w:rsid w:val="009F4FA2"/>
    <w:rsid w:val="009F7477"/>
    <w:rsid w:val="009F786C"/>
    <w:rsid w:val="009F78A8"/>
    <w:rsid w:val="00A001F8"/>
    <w:rsid w:val="00A006A0"/>
    <w:rsid w:val="00A011A5"/>
    <w:rsid w:val="00A06E42"/>
    <w:rsid w:val="00A11240"/>
    <w:rsid w:val="00A1204E"/>
    <w:rsid w:val="00A12FC3"/>
    <w:rsid w:val="00A14CC1"/>
    <w:rsid w:val="00A14F2B"/>
    <w:rsid w:val="00A1722D"/>
    <w:rsid w:val="00A205F0"/>
    <w:rsid w:val="00A20789"/>
    <w:rsid w:val="00A24369"/>
    <w:rsid w:val="00A25035"/>
    <w:rsid w:val="00A25D79"/>
    <w:rsid w:val="00A2613F"/>
    <w:rsid w:val="00A276FB"/>
    <w:rsid w:val="00A305A8"/>
    <w:rsid w:val="00A31277"/>
    <w:rsid w:val="00A31B6F"/>
    <w:rsid w:val="00A329C4"/>
    <w:rsid w:val="00A3331B"/>
    <w:rsid w:val="00A3551C"/>
    <w:rsid w:val="00A3720E"/>
    <w:rsid w:val="00A40C09"/>
    <w:rsid w:val="00A42C5B"/>
    <w:rsid w:val="00A4450B"/>
    <w:rsid w:val="00A45501"/>
    <w:rsid w:val="00A458E7"/>
    <w:rsid w:val="00A459F3"/>
    <w:rsid w:val="00A519CC"/>
    <w:rsid w:val="00A52719"/>
    <w:rsid w:val="00A52E17"/>
    <w:rsid w:val="00A54497"/>
    <w:rsid w:val="00A544B6"/>
    <w:rsid w:val="00A55EF2"/>
    <w:rsid w:val="00A56A92"/>
    <w:rsid w:val="00A62634"/>
    <w:rsid w:val="00A626C3"/>
    <w:rsid w:val="00A62BB7"/>
    <w:rsid w:val="00A63279"/>
    <w:rsid w:val="00A67103"/>
    <w:rsid w:val="00A70A4B"/>
    <w:rsid w:val="00A72D23"/>
    <w:rsid w:val="00A73DD9"/>
    <w:rsid w:val="00A7434D"/>
    <w:rsid w:val="00A749A2"/>
    <w:rsid w:val="00A74E83"/>
    <w:rsid w:val="00A756F6"/>
    <w:rsid w:val="00A767B0"/>
    <w:rsid w:val="00A7783E"/>
    <w:rsid w:val="00A82B03"/>
    <w:rsid w:val="00A8629D"/>
    <w:rsid w:val="00A916F6"/>
    <w:rsid w:val="00A93C46"/>
    <w:rsid w:val="00A95E84"/>
    <w:rsid w:val="00A974E7"/>
    <w:rsid w:val="00A97C98"/>
    <w:rsid w:val="00AA1627"/>
    <w:rsid w:val="00AA1DFC"/>
    <w:rsid w:val="00AA2B12"/>
    <w:rsid w:val="00AA3806"/>
    <w:rsid w:val="00AA429F"/>
    <w:rsid w:val="00AA4887"/>
    <w:rsid w:val="00AA509C"/>
    <w:rsid w:val="00AA7796"/>
    <w:rsid w:val="00AA7DBF"/>
    <w:rsid w:val="00AB0A0C"/>
    <w:rsid w:val="00AB289D"/>
    <w:rsid w:val="00AB3061"/>
    <w:rsid w:val="00AB31BC"/>
    <w:rsid w:val="00AB5B9F"/>
    <w:rsid w:val="00AB6566"/>
    <w:rsid w:val="00AC17C0"/>
    <w:rsid w:val="00AC17E9"/>
    <w:rsid w:val="00AC3006"/>
    <w:rsid w:val="00AC37CE"/>
    <w:rsid w:val="00AC4E84"/>
    <w:rsid w:val="00AC6948"/>
    <w:rsid w:val="00AC6D8B"/>
    <w:rsid w:val="00AD1688"/>
    <w:rsid w:val="00AD4B1E"/>
    <w:rsid w:val="00AD7E9E"/>
    <w:rsid w:val="00AE1AF8"/>
    <w:rsid w:val="00AE3042"/>
    <w:rsid w:val="00AE4B98"/>
    <w:rsid w:val="00AE5742"/>
    <w:rsid w:val="00AE77AD"/>
    <w:rsid w:val="00AF2D3B"/>
    <w:rsid w:val="00AF315D"/>
    <w:rsid w:val="00AF3308"/>
    <w:rsid w:val="00AF373A"/>
    <w:rsid w:val="00AF7A96"/>
    <w:rsid w:val="00B0788D"/>
    <w:rsid w:val="00B07CE7"/>
    <w:rsid w:val="00B125CF"/>
    <w:rsid w:val="00B13F5E"/>
    <w:rsid w:val="00B1490D"/>
    <w:rsid w:val="00B2078D"/>
    <w:rsid w:val="00B233AC"/>
    <w:rsid w:val="00B2535C"/>
    <w:rsid w:val="00B25AA1"/>
    <w:rsid w:val="00B26B70"/>
    <w:rsid w:val="00B31149"/>
    <w:rsid w:val="00B31D38"/>
    <w:rsid w:val="00B32C24"/>
    <w:rsid w:val="00B340C1"/>
    <w:rsid w:val="00B35FD1"/>
    <w:rsid w:val="00B36984"/>
    <w:rsid w:val="00B36B45"/>
    <w:rsid w:val="00B37F69"/>
    <w:rsid w:val="00B4318C"/>
    <w:rsid w:val="00B43994"/>
    <w:rsid w:val="00B439EE"/>
    <w:rsid w:val="00B45F26"/>
    <w:rsid w:val="00B52BDD"/>
    <w:rsid w:val="00B5643F"/>
    <w:rsid w:val="00B5650C"/>
    <w:rsid w:val="00B615F8"/>
    <w:rsid w:val="00B62BA3"/>
    <w:rsid w:val="00B62E7B"/>
    <w:rsid w:val="00B63C4C"/>
    <w:rsid w:val="00B6466C"/>
    <w:rsid w:val="00B66A1B"/>
    <w:rsid w:val="00B67C21"/>
    <w:rsid w:val="00B7046B"/>
    <w:rsid w:val="00B71ED2"/>
    <w:rsid w:val="00B74FCC"/>
    <w:rsid w:val="00B80666"/>
    <w:rsid w:val="00B81319"/>
    <w:rsid w:val="00B82517"/>
    <w:rsid w:val="00B8460C"/>
    <w:rsid w:val="00B902F9"/>
    <w:rsid w:val="00B915D3"/>
    <w:rsid w:val="00B91797"/>
    <w:rsid w:val="00B93F89"/>
    <w:rsid w:val="00B96744"/>
    <w:rsid w:val="00BA20CF"/>
    <w:rsid w:val="00BA2EAA"/>
    <w:rsid w:val="00BA416C"/>
    <w:rsid w:val="00BA477F"/>
    <w:rsid w:val="00BA75EB"/>
    <w:rsid w:val="00BA7AD1"/>
    <w:rsid w:val="00BB0D36"/>
    <w:rsid w:val="00BB20B8"/>
    <w:rsid w:val="00BB2E52"/>
    <w:rsid w:val="00BB3BF6"/>
    <w:rsid w:val="00BB4B35"/>
    <w:rsid w:val="00BB7D88"/>
    <w:rsid w:val="00BC60CD"/>
    <w:rsid w:val="00BC6BAA"/>
    <w:rsid w:val="00BC7206"/>
    <w:rsid w:val="00BD00AB"/>
    <w:rsid w:val="00BD0A77"/>
    <w:rsid w:val="00BD2B68"/>
    <w:rsid w:val="00BD5572"/>
    <w:rsid w:val="00BD5795"/>
    <w:rsid w:val="00BD7B43"/>
    <w:rsid w:val="00BE2CC4"/>
    <w:rsid w:val="00BE2E2D"/>
    <w:rsid w:val="00BE54AF"/>
    <w:rsid w:val="00BE6BE6"/>
    <w:rsid w:val="00BF0A59"/>
    <w:rsid w:val="00BF2506"/>
    <w:rsid w:val="00BF5CB3"/>
    <w:rsid w:val="00BF71D9"/>
    <w:rsid w:val="00BF7941"/>
    <w:rsid w:val="00C017F6"/>
    <w:rsid w:val="00C054B6"/>
    <w:rsid w:val="00C061CE"/>
    <w:rsid w:val="00C104AF"/>
    <w:rsid w:val="00C1107E"/>
    <w:rsid w:val="00C12909"/>
    <w:rsid w:val="00C12A08"/>
    <w:rsid w:val="00C13F7A"/>
    <w:rsid w:val="00C16097"/>
    <w:rsid w:val="00C17637"/>
    <w:rsid w:val="00C20A88"/>
    <w:rsid w:val="00C20BD0"/>
    <w:rsid w:val="00C229F1"/>
    <w:rsid w:val="00C22D5D"/>
    <w:rsid w:val="00C24FC0"/>
    <w:rsid w:val="00C2622F"/>
    <w:rsid w:val="00C271DE"/>
    <w:rsid w:val="00C31085"/>
    <w:rsid w:val="00C322C0"/>
    <w:rsid w:val="00C3311A"/>
    <w:rsid w:val="00C333EC"/>
    <w:rsid w:val="00C338E2"/>
    <w:rsid w:val="00C33A83"/>
    <w:rsid w:val="00C35831"/>
    <w:rsid w:val="00C37161"/>
    <w:rsid w:val="00C44EB1"/>
    <w:rsid w:val="00C45D5C"/>
    <w:rsid w:val="00C45FE0"/>
    <w:rsid w:val="00C47F3F"/>
    <w:rsid w:val="00C505F9"/>
    <w:rsid w:val="00C525C9"/>
    <w:rsid w:val="00C54343"/>
    <w:rsid w:val="00C54E42"/>
    <w:rsid w:val="00C56220"/>
    <w:rsid w:val="00C5644C"/>
    <w:rsid w:val="00C56D67"/>
    <w:rsid w:val="00C5787C"/>
    <w:rsid w:val="00C61423"/>
    <w:rsid w:val="00C619FF"/>
    <w:rsid w:val="00C62050"/>
    <w:rsid w:val="00C631D6"/>
    <w:rsid w:val="00C6323E"/>
    <w:rsid w:val="00C633E5"/>
    <w:rsid w:val="00C67691"/>
    <w:rsid w:val="00C7161F"/>
    <w:rsid w:val="00C742CD"/>
    <w:rsid w:val="00C778E5"/>
    <w:rsid w:val="00C77A31"/>
    <w:rsid w:val="00C81B10"/>
    <w:rsid w:val="00C84507"/>
    <w:rsid w:val="00C879BF"/>
    <w:rsid w:val="00C87F49"/>
    <w:rsid w:val="00C90723"/>
    <w:rsid w:val="00C91CED"/>
    <w:rsid w:val="00C9200B"/>
    <w:rsid w:val="00C932C3"/>
    <w:rsid w:val="00C93BEE"/>
    <w:rsid w:val="00C956D0"/>
    <w:rsid w:val="00CA15D5"/>
    <w:rsid w:val="00CA4D84"/>
    <w:rsid w:val="00CA5654"/>
    <w:rsid w:val="00CA73E2"/>
    <w:rsid w:val="00CA771A"/>
    <w:rsid w:val="00CB114D"/>
    <w:rsid w:val="00CB2248"/>
    <w:rsid w:val="00CB2ADF"/>
    <w:rsid w:val="00CB401A"/>
    <w:rsid w:val="00CB40CF"/>
    <w:rsid w:val="00CB4F6F"/>
    <w:rsid w:val="00CB67D8"/>
    <w:rsid w:val="00CC059B"/>
    <w:rsid w:val="00CC0683"/>
    <w:rsid w:val="00CC3780"/>
    <w:rsid w:val="00CC60F6"/>
    <w:rsid w:val="00CC6122"/>
    <w:rsid w:val="00CC7576"/>
    <w:rsid w:val="00CD00B3"/>
    <w:rsid w:val="00CD1D06"/>
    <w:rsid w:val="00CD6E38"/>
    <w:rsid w:val="00CD6F53"/>
    <w:rsid w:val="00CE13BD"/>
    <w:rsid w:val="00CE15F7"/>
    <w:rsid w:val="00CE2EC1"/>
    <w:rsid w:val="00CF0FA3"/>
    <w:rsid w:val="00CF6405"/>
    <w:rsid w:val="00CF6515"/>
    <w:rsid w:val="00D00906"/>
    <w:rsid w:val="00D039CB"/>
    <w:rsid w:val="00D0703A"/>
    <w:rsid w:val="00D071AD"/>
    <w:rsid w:val="00D074B6"/>
    <w:rsid w:val="00D10A73"/>
    <w:rsid w:val="00D10FAF"/>
    <w:rsid w:val="00D1312F"/>
    <w:rsid w:val="00D13559"/>
    <w:rsid w:val="00D14FCF"/>
    <w:rsid w:val="00D15B45"/>
    <w:rsid w:val="00D16897"/>
    <w:rsid w:val="00D202E0"/>
    <w:rsid w:val="00D2036E"/>
    <w:rsid w:val="00D21F67"/>
    <w:rsid w:val="00D22DBD"/>
    <w:rsid w:val="00D25E56"/>
    <w:rsid w:val="00D264D5"/>
    <w:rsid w:val="00D31838"/>
    <w:rsid w:val="00D337FE"/>
    <w:rsid w:val="00D33BEC"/>
    <w:rsid w:val="00D349F5"/>
    <w:rsid w:val="00D463D0"/>
    <w:rsid w:val="00D47620"/>
    <w:rsid w:val="00D51BCA"/>
    <w:rsid w:val="00D51EF4"/>
    <w:rsid w:val="00D52E32"/>
    <w:rsid w:val="00D53F34"/>
    <w:rsid w:val="00D5403C"/>
    <w:rsid w:val="00D544F9"/>
    <w:rsid w:val="00D55E08"/>
    <w:rsid w:val="00D57190"/>
    <w:rsid w:val="00D577E9"/>
    <w:rsid w:val="00D60A30"/>
    <w:rsid w:val="00D61F0B"/>
    <w:rsid w:val="00D6238E"/>
    <w:rsid w:val="00D62678"/>
    <w:rsid w:val="00D637B5"/>
    <w:rsid w:val="00D63AE4"/>
    <w:rsid w:val="00D70FD2"/>
    <w:rsid w:val="00D72094"/>
    <w:rsid w:val="00D74DEA"/>
    <w:rsid w:val="00D74E76"/>
    <w:rsid w:val="00D81510"/>
    <w:rsid w:val="00D828E9"/>
    <w:rsid w:val="00D839E2"/>
    <w:rsid w:val="00D84541"/>
    <w:rsid w:val="00D92283"/>
    <w:rsid w:val="00D92365"/>
    <w:rsid w:val="00D93C72"/>
    <w:rsid w:val="00D94E6A"/>
    <w:rsid w:val="00D958E9"/>
    <w:rsid w:val="00D95B6A"/>
    <w:rsid w:val="00D9719E"/>
    <w:rsid w:val="00D97EFE"/>
    <w:rsid w:val="00DA0CE8"/>
    <w:rsid w:val="00DA125D"/>
    <w:rsid w:val="00DA55C9"/>
    <w:rsid w:val="00DB2521"/>
    <w:rsid w:val="00DB25CF"/>
    <w:rsid w:val="00DB476D"/>
    <w:rsid w:val="00DB77DA"/>
    <w:rsid w:val="00DC001C"/>
    <w:rsid w:val="00DC1072"/>
    <w:rsid w:val="00DC108D"/>
    <w:rsid w:val="00DC14F7"/>
    <w:rsid w:val="00DC269B"/>
    <w:rsid w:val="00DC31BB"/>
    <w:rsid w:val="00DC42CD"/>
    <w:rsid w:val="00DC7318"/>
    <w:rsid w:val="00DD042E"/>
    <w:rsid w:val="00DD462B"/>
    <w:rsid w:val="00DD4D10"/>
    <w:rsid w:val="00DD5072"/>
    <w:rsid w:val="00DE0F70"/>
    <w:rsid w:val="00DE34DF"/>
    <w:rsid w:val="00DE40C2"/>
    <w:rsid w:val="00DE547E"/>
    <w:rsid w:val="00DE62F5"/>
    <w:rsid w:val="00DE6363"/>
    <w:rsid w:val="00DE75BD"/>
    <w:rsid w:val="00DF4260"/>
    <w:rsid w:val="00DF44AF"/>
    <w:rsid w:val="00DF5265"/>
    <w:rsid w:val="00DF5C3D"/>
    <w:rsid w:val="00DF5FF2"/>
    <w:rsid w:val="00DF656F"/>
    <w:rsid w:val="00E011E1"/>
    <w:rsid w:val="00E0125C"/>
    <w:rsid w:val="00E01263"/>
    <w:rsid w:val="00E013B0"/>
    <w:rsid w:val="00E03A1B"/>
    <w:rsid w:val="00E04268"/>
    <w:rsid w:val="00E1012E"/>
    <w:rsid w:val="00E106DB"/>
    <w:rsid w:val="00E127B0"/>
    <w:rsid w:val="00E13083"/>
    <w:rsid w:val="00E13B8A"/>
    <w:rsid w:val="00E13C36"/>
    <w:rsid w:val="00E16DAF"/>
    <w:rsid w:val="00E16EDF"/>
    <w:rsid w:val="00E20016"/>
    <w:rsid w:val="00E20DD5"/>
    <w:rsid w:val="00E21CB1"/>
    <w:rsid w:val="00E22267"/>
    <w:rsid w:val="00E24DB5"/>
    <w:rsid w:val="00E26B40"/>
    <w:rsid w:val="00E304A6"/>
    <w:rsid w:val="00E313ED"/>
    <w:rsid w:val="00E3329B"/>
    <w:rsid w:val="00E33EA5"/>
    <w:rsid w:val="00E3799E"/>
    <w:rsid w:val="00E42526"/>
    <w:rsid w:val="00E42FC9"/>
    <w:rsid w:val="00E43912"/>
    <w:rsid w:val="00E43B8B"/>
    <w:rsid w:val="00E43D96"/>
    <w:rsid w:val="00E44C93"/>
    <w:rsid w:val="00E46A52"/>
    <w:rsid w:val="00E513D9"/>
    <w:rsid w:val="00E52019"/>
    <w:rsid w:val="00E63838"/>
    <w:rsid w:val="00E63C24"/>
    <w:rsid w:val="00E65B66"/>
    <w:rsid w:val="00E668DB"/>
    <w:rsid w:val="00E67E33"/>
    <w:rsid w:val="00E750A0"/>
    <w:rsid w:val="00E76F9A"/>
    <w:rsid w:val="00E7773B"/>
    <w:rsid w:val="00E80385"/>
    <w:rsid w:val="00E81B4E"/>
    <w:rsid w:val="00E85C3F"/>
    <w:rsid w:val="00E86D71"/>
    <w:rsid w:val="00E91068"/>
    <w:rsid w:val="00E92334"/>
    <w:rsid w:val="00E94963"/>
    <w:rsid w:val="00E97561"/>
    <w:rsid w:val="00EA0413"/>
    <w:rsid w:val="00EA1730"/>
    <w:rsid w:val="00EA300E"/>
    <w:rsid w:val="00EA4DA7"/>
    <w:rsid w:val="00EA5479"/>
    <w:rsid w:val="00EA6A11"/>
    <w:rsid w:val="00EA6F90"/>
    <w:rsid w:val="00EB0BB3"/>
    <w:rsid w:val="00EB13A9"/>
    <w:rsid w:val="00EB476C"/>
    <w:rsid w:val="00EB6197"/>
    <w:rsid w:val="00EB6724"/>
    <w:rsid w:val="00EB6F87"/>
    <w:rsid w:val="00EC1833"/>
    <w:rsid w:val="00EC3787"/>
    <w:rsid w:val="00EC3B7F"/>
    <w:rsid w:val="00EC4CE1"/>
    <w:rsid w:val="00EC5984"/>
    <w:rsid w:val="00EC7F98"/>
    <w:rsid w:val="00ED10C2"/>
    <w:rsid w:val="00ED23C3"/>
    <w:rsid w:val="00ED465D"/>
    <w:rsid w:val="00ED61C1"/>
    <w:rsid w:val="00ED7747"/>
    <w:rsid w:val="00ED788D"/>
    <w:rsid w:val="00EE0F11"/>
    <w:rsid w:val="00EE1108"/>
    <w:rsid w:val="00EE21D3"/>
    <w:rsid w:val="00EE329E"/>
    <w:rsid w:val="00EE3EDD"/>
    <w:rsid w:val="00EE487E"/>
    <w:rsid w:val="00EE52D1"/>
    <w:rsid w:val="00EE61F0"/>
    <w:rsid w:val="00EE63AC"/>
    <w:rsid w:val="00EE7B36"/>
    <w:rsid w:val="00EF1603"/>
    <w:rsid w:val="00EF1C9A"/>
    <w:rsid w:val="00EF5992"/>
    <w:rsid w:val="00EF6CF5"/>
    <w:rsid w:val="00F00F33"/>
    <w:rsid w:val="00F0519B"/>
    <w:rsid w:val="00F06CFA"/>
    <w:rsid w:val="00F12687"/>
    <w:rsid w:val="00F13C47"/>
    <w:rsid w:val="00F146BF"/>
    <w:rsid w:val="00F16A41"/>
    <w:rsid w:val="00F16E44"/>
    <w:rsid w:val="00F21190"/>
    <w:rsid w:val="00F213B4"/>
    <w:rsid w:val="00F23686"/>
    <w:rsid w:val="00F24A87"/>
    <w:rsid w:val="00F26398"/>
    <w:rsid w:val="00F26E13"/>
    <w:rsid w:val="00F3226D"/>
    <w:rsid w:val="00F328EB"/>
    <w:rsid w:val="00F36A27"/>
    <w:rsid w:val="00F37F3E"/>
    <w:rsid w:val="00F4117D"/>
    <w:rsid w:val="00F413DB"/>
    <w:rsid w:val="00F414AB"/>
    <w:rsid w:val="00F43F83"/>
    <w:rsid w:val="00F444F0"/>
    <w:rsid w:val="00F50A17"/>
    <w:rsid w:val="00F515B7"/>
    <w:rsid w:val="00F559AC"/>
    <w:rsid w:val="00F56726"/>
    <w:rsid w:val="00F60E5A"/>
    <w:rsid w:val="00F6270F"/>
    <w:rsid w:val="00F6281B"/>
    <w:rsid w:val="00F6352A"/>
    <w:rsid w:val="00F63874"/>
    <w:rsid w:val="00F646A5"/>
    <w:rsid w:val="00F65753"/>
    <w:rsid w:val="00F65D4D"/>
    <w:rsid w:val="00F65DF4"/>
    <w:rsid w:val="00F67429"/>
    <w:rsid w:val="00F67A99"/>
    <w:rsid w:val="00F75E9E"/>
    <w:rsid w:val="00F7747A"/>
    <w:rsid w:val="00F80902"/>
    <w:rsid w:val="00F815B3"/>
    <w:rsid w:val="00F840AE"/>
    <w:rsid w:val="00F85CA5"/>
    <w:rsid w:val="00F908F6"/>
    <w:rsid w:val="00F913A9"/>
    <w:rsid w:val="00F92210"/>
    <w:rsid w:val="00F928B5"/>
    <w:rsid w:val="00F93B5E"/>
    <w:rsid w:val="00F949E3"/>
    <w:rsid w:val="00F95A58"/>
    <w:rsid w:val="00F97CC7"/>
    <w:rsid w:val="00FA07FB"/>
    <w:rsid w:val="00FA1025"/>
    <w:rsid w:val="00FA15CE"/>
    <w:rsid w:val="00FA2788"/>
    <w:rsid w:val="00FA35A8"/>
    <w:rsid w:val="00FA397A"/>
    <w:rsid w:val="00FB0B53"/>
    <w:rsid w:val="00FB3CA0"/>
    <w:rsid w:val="00FB48A9"/>
    <w:rsid w:val="00FB4BEE"/>
    <w:rsid w:val="00FB520C"/>
    <w:rsid w:val="00FB74AD"/>
    <w:rsid w:val="00FB7A26"/>
    <w:rsid w:val="00FB7E8D"/>
    <w:rsid w:val="00FC0BEF"/>
    <w:rsid w:val="00FC0E8A"/>
    <w:rsid w:val="00FC2AB0"/>
    <w:rsid w:val="00FC6173"/>
    <w:rsid w:val="00FC75F1"/>
    <w:rsid w:val="00FD1E7D"/>
    <w:rsid w:val="00FD3196"/>
    <w:rsid w:val="00FD3B47"/>
    <w:rsid w:val="00FD679C"/>
    <w:rsid w:val="00FD71A3"/>
    <w:rsid w:val="00FE0034"/>
    <w:rsid w:val="00FE0379"/>
    <w:rsid w:val="00FE3783"/>
    <w:rsid w:val="00FE3A3D"/>
    <w:rsid w:val="00FE42DF"/>
    <w:rsid w:val="00FE4BBF"/>
    <w:rsid w:val="00FE4DC7"/>
    <w:rsid w:val="00FE68B2"/>
    <w:rsid w:val="00FF0547"/>
    <w:rsid w:val="00FF1BD8"/>
    <w:rsid w:val="00FF20FC"/>
    <w:rsid w:val="00FF2911"/>
    <w:rsid w:val="00FF2B64"/>
    <w:rsid w:val="00FF2F7E"/>
    <w:rsid w:val="00FF56CD"/>
    <w:rsid w:val="00FF7435"/>
    <w:rsid w:val="00FF7B95"/>
    <w:rsid w:val="01850336"/>
    <w:rsid w:val="01DA5908"/>
    <w:rsid w:val="022B296C"/>
    <w:rsid w:val="0325222A"/>
    <w:rsid w:val="041864FF"/>
    <w:rsid w:val="04A5028C"/>
    <w:rsid w:val="05020C3A"/>
    <w:rsid w:val="076F6095"/>
    <w:rsid w:val="07E31891"/>
    <w:rsid w:val="08032CE6"/>
    <w:rsid w:val="083A4517"/>
    <w:rsid w:val="087D440F"/>
    <w:rsid w:val="093E6593"/>
    <w:rsid w:val="09940D37"/>
    <w:rsid w:val="0AC0333D"/>
    <w:rsid w:val="0ACB50DD"/>
    <w:rsid w:val="0C840BF9"/>
    <w:rsid w:val="0E190214"/>
    <w:rsid w:val="100C03F7"/>
    <w:rsid w:val="125D629F"/>
    <w:rsid w:val="143936D8"/>
    <w:rsid w:val="14691370"/>
    <w:rsid w:val="14917754"/>
    <w:rsid w:val="17A9396F"/>
    <w:rsid w:val="1D9A2A99"/>
    <w:rsid w:val="1DFC4A67"/>
    <w:rsid w:val="1F073BDC"/>
    <w:rsid w:val="1F096BCB"/>
    <w:rsid w:val="1FEF55E2"/>
    <w:rsid w:val="20C25233"/>
    <w:rsid w:val="21A42DF1"/>
    <w:rsid w:val="22192627"/>
    <w:rsid w:val="22827886"/>
    <w:rsid w:val="23874A9E"/>
    <w:rsid w:val="24BF57A7"/>
    <w:rsid w:val="27D668C5"/>
    <w:rsid w:val="28EF4EAE"/>
    <w:rsid w:val="28F3097D"/>
    <w:rsid w:val="2A1C4553"/>
    <w:rsid w:val="2C155DAD"/>
    <w:rsid w:val="2C864070"/>
    <w:rsid w:val="2F1A5A56"/>
    <w:rsid w:val="2F8D01B1"/>
    <w:rsid w:val="3153559F"/>
    <w:rsid w:val="31612853"/>
    <w:rsid w:val="31A83FE9"/>
    <w:rsid w:val="35410C3E"/>
    <w:rsid w:val="356279EA"/>
    <w:rsid w:val="39A6213B"/>
    <w:rsid w:val="3E0E2F76"/>
    <w:rsid w:val="3F7153F9"/>
    <w:rsid w:val="3F994F93"/>
    <w:rsid w:val="3FC317DC"/>
    <w:rsid w:val="3FEF2FD4"/>
    <w:rsid w:val="402F48BD"/>
    <w:rsid w:val="40EB34E0"/>
    <w:rsid w:val="414F02D4"/>
    <w:rsid w:val="420F6F26"/>
    <w:rsid w:val="42AB57C0"/>
    <w:rsid w:val="42DC18B0"/>
    <w:rsid w:val="478B125C"/>
    <w:rsid w:val="47CD4A37"/>
    <w:rsid w:val="498E4CFF"/>
    <w:rsid w:val="49DE4A17"/>
    <w:rsid w:val="4A345A29"/>
    <w:rsid w:val="4BB6023E"/>
    <w:rsid w:val="4F721171"/>
    <w:rsid w:val="501222E0"/>
    <w:rsid w:val="507C2C79"/>
    <w:rsid w:val="53CE168B"/>
    <w:rsid w:val="54A05C84"/>
    <w:rsid w:val="54D95362"/>
    <w:rsid w:val="56015575"/>
    <w:rsid w:val="562F3567"/>
    <w:rsid w:val="56DF0A43"/>
    <w:rsid w:val="578660E0"/>
    <w:rsid w:val="589849E6"/>
    <w:rsid w:val="5987789B"/>
    <w:rsid w:val="5A186426"/>
    <w:rsid w:val="5A5A64D3"/>
    <w:rsid w:val="5B5867FE"/>
    <w:rsid w:val="5B5E69AB"/>
    <w:rsid w:val="5BA30875"/>
    <w:rsid w:val="5BD11F2F"/>
    <w:rsid w:val="5D206C20"/>
    <w:rsid w:val="5E941F30"/>
    <w:rsid w:val="5ECC3FA2"/>
    <w:rsid w:val="5EFB10EC"/>
    <w:rsid w:val="5F975656"/>
    <w:rsid w:val="5FC44D33"/>
    <w:rsid w:val="61D250D4"/>
    <w:rsid w:val="62FC132B"/>
    <w:rsid w:val="638A0558"/>
    <w:rsid w:val="667D6D4B"/>
    <w:rsid w:val="668E548D"/>
    <w:rsid w:val="68643ADC"/>
    <w:rsid w:val="68EA74FF"/>
    <w:rsid w:val="69DD0BFE"/>
    <w:rsid w:val="6AEA1A38"/>
    <w:rsid w:val="6B633598"/>
    <w:rsid w:val="6C6E0447"/>
    <w:rsid w:val="6D4D000C"/>
    <w:rsid w:val="6D6C0781"/>
    <w:rsid w:val="6E49116B"/>
    <w:rsid w:val="6F627F36"/>
    <w:rsid w:val="71606C3B"/>
    <w:rsid w:val="7201523C"/>
    <w:rsid w:val="74640099"/>
    <w:rsid w:val="74686C8A"/>
    <w:rsid w:val="76E41B32"/>
    <w:rsid w:val="77B062CA"/>
    <w:rsid w:val="77C36C9A"/>
    <w:rsid w:val="78091C0E"/>
    <w:rsid w:val="79D10442"/>
    <w:rsid w:val="7A86454D"/>
    <w:rsid w:val="7AEF0BC9"/>
    <w:rsid w:val="7B445194"/>
    <w:rsid w:val="7B7E31E4"/>
    <w:rsid w:val="7C22274D"/>
    <w:rsid w:val="7D7D563E"/>
    <w:rsid w:val="7FB818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5"/>
    <w:qFormat/>
    <w:uiPriority w:val="0"/>
    <w:pPr>
      <w:keepNext/>
      <w:keepLines/>
      <w:numPr>
        <w:ilvl w:val="0"/>
        <w:numId w:val="1"/>
      </w:numPr>
      <w:autoSpaceDE w:val="0"/>
      <w:autoSpaceDN w:val="0"/>
      <w:adjustRightInd w:val="0"/>
      <w:spacing w:before="120" w:after="60" w:line="288" w:lineRule="auto"/>
      <w:jc w:val="left"/>
      <w:textAlignment w:val="baseline"/>
      <w:outlineLvl w:val="0"/>
    </w:pPr>
    <w:rPr>
      <w:rFonts w:eastAsia="魏碑"/>
      <w:b/>
      <w:kern w:val="0"/>
      <w:sz w:val="36"/>
      <w:szCs w:val="20"/>
    </w:rPr>
  </w:style>
  <w:style w:type="paragraph" w:styleId="3">
    <w:name w:val="heading 2"/>
    <w:basedOn w:val="1"/>
    <w:next w:val="1"/>
    <w:link w:val="46"/>
    <w:qFormat/>
    <w:uiPriority w:val="0"/>
    <w:pPr>
      <w:keepNext/>
      <w:keepLines/>
      <w:numPr>
        <w:ilvl w:val="1"/>
        <w:numId w:val="1"/>
      </w:numPr>
      <w:autoSpaceDE w:val="0"/>
      <w:autoSpaceDN w:val="0"/>
      <w:adjustRightInd w:val="0"/>
      <w:spacing w:before="100" w:after="60" w:line="288" w:lineRule="auto"/>
      <w:jc w:val="left"/>
      <w:textAlignment w:val="baseline"/>
      <w:outlineLvl w:val="1"/>
    </w:pPr>
    <w:rPr>
      <w:rFonts w:eastAsia="黑体"/>
      <w:kern w:val="0"/>
      <w:sz w:val="30"/>
      <w:szCs w:val="20"/>
    </w:rPr>
  </w:style>
  <w:style w:type="paragraph" w:styleId="4">
    <w:name w:val="heading 3"/>
    <w:basedOn w:val="1"/>
    <w:next w:val="1"/>
    <w:link w:val="47"/>
    <w:qFormat/>
    <w:uiPriority w:val="0"/>
    <w:pPr>
      <w:keepNext/>
      <w:keepLines/>
      <w:numPr>
        <w:ilvl w:val="2"/>
        <w:numId w:val="1"/>
      </w:numPr>
      <w:autoSpaceDE w:val="0"/>
      <w:autoSpaceDN w:val="0"/>
      <w:adjustRightInd w:val="0"/>
      <w:spacing w:before="20" w:after="20" w:line="288" w:lineRule="auto"/>
      <w:jc w:val="left"/>
      <w:textAlignment w:val="baseline"/>
      <w:outlineLvl w:val="2"/>
    </w:pPr>
    <w:rPr>
      <w:rFonts w:eastAsia="黑体"/>
      <w:kern w:val="0"/>
      <w:sz w:val="28"/>
      <w:szCs w:val="20"/>
    </w:rPr>
  </w:style>
  <w:style w:type="paragraph" w:styleId="5">
    <w:name w:val="heading 4"/>
    <w:basedOn w:val="1"/>
    <w:next w:val="1"/>
    <w:link w:val="48"/>
    <w:qFormat/>
    <w:uiPriority w:val="0"/>
    <w:pPr>
      <w:keepNext/>
      <w:keepLines/>
      <w:numPr>
        <w:ilvl w:val="3"/>
        <w:numId w:val="1"/>
      </w:numPr>
      <w:autoSpaceDE w:val="0"/>
      <w:autoSpaceDN w:val="0"/>
      <w:adjustRightInd w:val="0"/>
      <w:spacing w:before="20" w:line="288" w:lineRule="auto"/>
      <w:jc w:val="left"/>
      <w:textAlignment w:val="baseline"/>
      <w:outlineLvl w:val="3"/>
    </w:pPr>
    <w:rPr>
      <w:rFonts w:eastAsia="长城楷体"/>
      <w:b/>
      <w:kern w:val="0"/>
      <w:sz w:val="28"/>
      <w:szCs w:val="20"/>
    </w:rPr>
  </w:style>
  <w:style w:type="paragraph" w:styleId="6">
    <w:name w:val="heading 5"/>
    <w:basedOn w:val="1"/>
    <w:next w:val="1"/>
    <w:link w:val="49"/>
    <w:qFormat/>
    <w:uiPriority w:val="0"/>
    <w:pPr>
      <w:keepNext/>
      <w:keepLines/>
      <w:numPr>
        <w:ilvl w:val="4"/>
        <w:numId w:val="1"/>
      </w:numPr>
      <w:autoSpaceDE w:val="0"/>
      <w:autoSpaceDN w:val="0"/>
      <w:adjustRightInd w:val="0"/>
      <w:spacing w:line="288" w:lineRule="auto"/>
      <w:jc w:val="left"/>
      <w:textAlignment w:val="baseline"/>
      <w:outlineLvl w:val="4"/>
    </w:pPr>
    <w:rPr>
      <w:b/>
      <w:kern w:val="0"/>
      <w:sz w:val="24"/>
      <w:szCs w:val="20"/>
    </w:rPr>
  </w:style>
  <w:style w:type="paragraph" w:styleId="7">
    <w:name w:val="heading 6"/>
    <w:basedOn w:val="1"/>
    <w:next w:val="1"/>
    <w:link w:val="50"/>
    <w:qFormat/>
    <w:uiPriority w:val="0"/>
    <w:pPr>
      <w:keepNext/>
      <w:keepLines/>
      <w:numPr>
        <w:ilvl w:val="5"/>
        <w:numId w:val="1"/>
      </w:numPr>
      <w:autoSpaceDE w:val="0"/>
      <w:autoSpaceDN w:val="0"/>
      <w:adjustRightInd w:val="0"/>
      <w:spacing w:before="240" w:after="64" w:line="320" w:lineRule="auto"/>
      <w:jc w:val="left"/>
      <w:textAlignment w:val="baseline"/>
      <w:outlineLvl w:val="5"/>
    </w:pPr>
    <w:rPr>
      <w:rFonts w:ascii="Arial" w:hAnsi="Arial" w:eastAsia="黑体"/>
      <w:b/>
      <w:kern w:val="0"/>
      <w:sz w:val="24"/>
      <w:szCs w:val="20"/>
    </w:rPr>
  </w:style>
  <w:style w:type="paragraph" w:styleId="8">
    <w:name w:val="heading 7"/>
    <w:basedOn w:val="1"/>
    <w:next w:val="1"/>
    <w:link w:val="51"/>
    <w:qFormat/>
    <w:uiPriority w:val="0"/>
    <w:pPr>
      <w:keepNext/>
      <w:keepLines/>
      <w:numPr>
        <w:ilvl w:val="6"/>
        <w:numId w:val="1"/>
      </w:numPr>
      <w:autoSpaceDE w:val="0"/>
      <w:autoSpaceDN w:val="0"/>
      <w:adjustRightInd w:val="0"/>
      <w:spacing w:before="240" w:after="64" w:line="320" w:lineRule="auto"/>
      <w:jc w:val="left"/>
      <w:textAlignment w:val="baseline"/>
      <w:outlineLvl w:val="6"/>
    </w:pPr>
    <w:rPr>
      <w:b/>
      <w:kern w:val="0"/>
      <w:sz w:val="24"/>
      <w:szCs w:val="20"/>
    </w:rPr>
  </w:style>
  <w:style w:type="paragraph" w:styleId="9">
    <w:name w:val="heading 8"/>
    <w:basedOn w:val="1"/>
    <w:next w:val="1"/>
    <w:link w:val="52"/>
    <w:qFormat/>
    <w:uiPriority w:val="0"/>
    <w:pPr>
      <w:keepNext/>
      <w:keepLines/>
      <w:numPr>
        <w:ilvl w:val="7"/>
        <w:numId w:val="1"/>
      </w:numPr>
      <w:autoSpaceDE w:val="0"/>
      <w:autoSpaceDN w:val="0"/>
      <w:adjustRightInd w:val="0"/>
      <w:spacing w:before="240" w:after="64" w:line="320" w:lineRule="auto"/>
      <w:jc w:val="left"/>
      <w:textAlignment w:val="baseline"/>
      <w:outlineLvl w:val="7"/>
    </w:pPr>
    <w:rPr>
      <w:rFonts w:ascii="Arial" w:hAnsi="Arial" w:eastAsia="黑体"/>
      <w:kern w:val="0"/>
      <w:sz w:val="24"/>
      <w:szCs w:val="20"/>
    </w:rPr>
  </w:style>
  <w:style w:type="paragraph" w:styleId="10">
    <w:name w:val="heading 9"/>
    <w:basedOn w:val="1"/>
    <w:next w:val="1"/>
    <w:link w:val="53"/>
    <w:qFormat/>
    <w:uiPriority w:val="0"/>
    <w:pPr>
      <w:keepNext/>
      <w:keepLines/>
      <w:numPr>
        <w:ilvl w:val="8"/>
        <w:numId w:val="1"/>
      </w:numPr>
      <w:autoSpaceDE w:val="0"/>
      <w:autoSpaceDN w:val="0"/>
      <w:adjustRightInd w:val="0"/>
      <w:spacing w:before="240" w:after="64" w:line="320" w:lineRule="auto"/>
      <w:jc w:val="left"/>
      <w:textAlignment w:val="baseline"/>
      <w:outlineLvl w:val="8"/>
    </w:pPr>
    <w:rPr>
      <w:rFonts w:ascii="Arial" w:hAnsi="Arial" w:eastAsia="黑体"/>
      <w:kern w:val="0"/>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Document Map"/>
    <w:basedOn w:val="1"/>
    <w:link w:val="59"/>
    <w:semiHidden/>
    <w:unhideWhenUsed/>
    <w:qFormat/>
    <w:uiPriority w:val="99"/>
    <w:rPr>
      <w:rFonts w:ascii="宋体"/>
      <w:sz w:val="18"/>
      <w:szCs w:val="18"/>
    </w:rPr>
  </w:style>
  <w:style w:type="paragraph" w:styleId="13">
    <w:name w:val="annotation text"/>
    <w:basedOn w:val="1"/>
    <w:link w:val="43"/>
    <w:semiHidden/>
    <w:unhideWhenUsed/>
    <w:qFormat/>
    <w:uiPriority w:val="99"/>
    <w:pPr>
      <w:jc w:val="left"/>
    </w:pPr>
  </w:style>
  <w:style w:type="paragraph" w:styleId="14">
    <w:name w:val="Body Text"/>
    <w:basedOn w:val="1"/>
    <w:link w:val="34"/>
    <w:semiHidden/>
    <w:unhideWhenUsed/>
    <w:qFormat/>
    <w:uiPriority w:val="99"/>
    <w:pPr>
      <w:spacing w:after="120"/>
    </w:pPr>
  </w:style>
  <w:style w:type="paragraph" w:styleId="15">
    <w:name w:val="Body Text Indent 2"/>
    <w:basedOn w:val="1"/>
    <w:link w:val="35"/>
    <w:qFormat/>
    <w:uiPriority w:val="99"/>
    <w:pPr>
      <w:spacing w:after="120" w:line="480" w:lineRule="auto"/>
      <w:ind w:left="420" w:leftChars="200"/>
    </w:pPr>
  </w:style>
  <w:style w:type="paragraph" w:styleId="16">
    <w:name w:val="Balloon Text"/>
    <w:basedOn w:val="1"/>
    <w:link w:val="31"/>
    <w:semiHidden/>
    <w:unhideWhenUsed/>
    <w:qFormat/>
    <w:uiPriority w:val="99"/>
    <w:rPr>
      <w:sz w:val="18"/>
      <w:szCs w:val="18"/>
    </w:rPr>
  </w:style>
  <w:style w:type="paragraph" w:styleId="17">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9">
    <w:name w:val="Normal (Web)"/>
    <w:basedOn w:val="1"/>
    <w:link w:val="28"/>
    <w:unhideWhenUsed/>
    <w:qFormat/>
    <w:uiPriority w:val="99"/>
    <w:pPr>
      <w:widowControl/>
      <w:spacing w:before="100" w:beforeAutospacing="1" w:after="100" w:afterAutospacing="1"/>
      <w:jc w:val="left"/>
    </w:pPr>
    <w:rPr>
      <w:rFonts w:ascii="宋体" w:hAnsi="宋体" w:cstheme="minorBidi"/>
      <w:sz w:val="24"/>
      <w:szCs w:val="22"/>
    </w:rPr>
  </w:style>
  <w:style w:type="paragraph" w:styleId="20">
    <w:name w:val="annotation subject"/>
    <w:basedOn w:val="13"/>
    <w:next w:val="13"/>
    <w:link w:val="44"/>
    <w:semiHidden/>
    <w:unhideWhenUsed/>
    <w:qFormat/>
    <w:uiPriority w:val="99"/>
    <w:rPr>
      <w:b/>
      <w:bCs/>
    </w:rPr>
  </w:style>
  <w:style w:type="table" w:styleId="22">
    <w:name w:val="Table Grid"/>
    <w:basedOn w:val="2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Hyperlink"/>
    <w:basedOn w:val="23"/>
    <w:unhideWhenUsed/>
    <w:qFormat/>
    <w:uiPriority w:val="99"/>
    <w:rPr>
      <w:color w:val="0000FF"/>
      <w:u w:val="single"/>
    </w:rPr>
  </w:style>
  <w:style w:type="character" w:styleId="25">
    <w:name w:val="annotation reference"/>
    <w:basedOn w:val="23"/>
    <w:semiHidden/>
    <w:unhideWhenUsed/>
    <w:qFormat/>
    <w:uiPriority w:val="99"/>
    <w:rPr>
      <w:sz w:val="21"/>
      <w:szCs w:val="21"/>
    </w:rPr>
  </w:style>
  <w:style w:type="character" w:customStyle="1" w:styleId="26">
    <w:name w:val="页眉 Char"/>
    <w:basedOn w:val="23"/>
    <w:link w:val="18"/>
    <w:qFormat/>
    <w:uiPriority w:val="99"/>
    <w:rPr>
      <w:sz w:val="18"/>
      <w:szCs w:val="18"/>
    </w:rPr>
  </w:style>
  <w:style w:type="character" w:customStyle="1" w:styleId="27">
    <w:name w:val="页脚 Char"/>
    <w:basedOn w:val="23"/>
    <w:link w:val="17"/>
    <w:qFormat/>
    <w:uiPriority w:val="99"/>
    <w:rPr>
      <w:sz w:val="18"/>
      <w:szCs w:val="18"/>
    </w:rPr>
  </w:style>
  <w:style w:type="character" w:customStyle="1" w:styleId="28">
    <w:name w:val="普通(网站) Char"/>
    <w:link w:val="19"/>
    <w:qFormat/>
    <w:locked/>
    <w:uiPriority w:val="99"/>
    <w:rPr>
      <w:rFonts w:ascii="宋体" w:hAnsi="宋体" w:eastAsia="宋体"/>
      <w:sz w:val="24"/>
    </w:rPr>
  </w:style>
  <w:style w:type="character" w:customStyle="1" w:styleId="29">
    <w:name w:val="表格 Char"/>
    <w:link w:val="30"/>
    <w:qFormat/>
    <w:locked/>
    <w:uiPriority w:val="0"/>
    <w:rPr>
      <w:rFonts w:ascii="宋体" w:hAnsi="宋体" w:eastAsia="宋体"/>
    </w:rPr>
  </w:style>
  <w:style w:type="paragraph" w:customStyle="1" w:styleId="30">
    <w:name w:val="表格"/>
    <w:basedOn w:val="1"/>
    <w:next w:val="1"/>
    <w:link w:val="29"/>
    <w:qFormat/>
    <w:uiPriority w:val="0"/>
    <w:pPr>
      <w:adjustRightInd w:val="0"/>
      <w:snapToGrid w:val="0"/>
      <w:spacing w:beforeLines="10" w:line="256" w:lineRule="auto"/>
      <w:jc w:val="center"/>
    </w:pPr>
    <w:rPr>
      <w:rFonts w:ascii="宋体" w:hAnsi="宋体" w:cstheme="minorBidi"/>
      <w:szCs w:val="22"/>
    </w:rPr>
  </w:style>
  <w:style w:type="character" w:customStyle="1" w:styleId="31">
    <w:name w:val="批注框文本 Char"/>
    <w:basedOn w:val="23"/>
    <w:link w:val="16"/>
    <w:semiHidden/>
    <w:qFormat/>
    <w:uiPriority w:val="99"/>
    <w:rPr>
      <w:rFonts w:ascii="Times New Roman" w:hAnsi="Times New Roman" w:eastAsia="宋体" w:cs="Times New Roman"/>
      <w:sz w:val="18"/>
      <w:szCs w:val="18"/>
    </w:rPr>
  </w:style>
  <w:style w:type="paragraph" w:customStyle="1" w:styleId="32">
    <w:name w:val="列出段落1"/>
    <w:basedOn w:val="1"/>
    <w:qFormat/>
    <w:uiPriority w:val="0"/>
    <w:pPr>
      <w:ind w:firstLine="420" w:firstLineChars="200"/>
    </w:pPr>
  </w:style>
  <w:style w:type="paragraph" w:customStyle="1" w:styleId="33">
    <w:name w:val="表格文字"/>
    <w:basedOn w:val="14"/>
    <w:link w:val="56"/>
    <w:qFormat/>
    <w:uiPriority w:val="0"/>
    <w:pPr>
      <w:spacing w:before="100" w:beforeAutospacing="1" w:after="0"/>
    </w:pPr>
    <w:rPr>
      <w:szCs w:val="21"/>
    </w:rPr>
  </w:style>
  <w:style w:type="character" w:customStyle="1" w:styleId="34">
    <w:name w:val="正文文本 Char"/>
    <w:basedOn w:val="23"/>
    <w:link w:val="14"/>
    <w:semiHidden/>
    <w:qFormat/>
    <w:uiPriority w:val="99"/>
    <w:rPr>
      <w:rFonts w:ascii="Times New Roman" w:hAnsi="Times New Roman" w:eastAsia="宋体" w:cs="Times New Roman"/>
      <w:kern w:val="2"/>
      <w:sz w:val="21"/>
      <w:szCs w:val="24"/>
    </w:rPr>
  </w:style>
  <w:style w:type="character" w:customStyle="1" w:styleId="35">
    <w:name w:val="正文文本缩进 2 Char"/>
    <w:basedOn w:val="23"/>
    <w:link w:val="15"/>
    <w:qFormat/>
    <w:uiPriority w:val="99"/>
    <w:rPr>
      <w:rFonts w:ascii="Times New Roman" w:hAnsi="Times New Roman" w:eastAsia="宋体" w:cs="Times New Roman"/>
      <w:kern w:val="2"/>
      <w:sz w:val="21"/>
      <w:szCs w:val="24"/>
    </w:rPr>
  </w:style>
  <w:style w:type="character" w:customStyle="1" w:styleId="36">
    <w:name w:val="16"/>
    <w:basedOn w:val="23"/>
    <w:qFormat/>
    <w:uiPriority w:val="0"/>
    <w:rPr>
      <w:rFonts w:hint="default" w:ascii="Times New Roman" w:hAnsi="Times New Roman" w:cs="Times New Roman"/>
      <w:color w:val="FF0000"/>
      <w:sz w:val="18"/>
      <w:szCs w:val="18"/>
    </w:rPr>
  </w:style>
  <w:style w:type="character" w:customStyle="1" w:styleId="37">
    <w:name w:val="17"/>
    <w:basedOn w:val="23"/>
    <w:qFormat/>
    <w:uiPriority w:val="0"/>
    <w:rPr>
      <w:rFonts w:hint="eastAsia" w:ascii="宋体" w:hAnsi="宋体" w:eastAsia="宋体"/>
      <w:color w:val="FF0000"/>
      <w:sz w:val="18"/>
      <w:szCs w:val="18"/>
    </w:rPr>
  </w:style>
  <w:style w:type="paragraph" w:customStyle="1" w:styleId="38">
    <w:name w:val="样式4"/>
    <w:basedOn w:val="1"/>
    <w:next w:val="1"/>
    <w:qFormat/>
    <w:uiPriority w:val="0"/>
    <w:pPr>
      <w:spacing w:line="440" w:lineRule="exact"/>
    </w:pPr>
    <w:rPr>
      <w:sz w:val="24"/>
    </w:rPr>
  </w:style>
  <w:style w:type="paragraph" w:customStyle="1" w:styleId="39">
    <w:name w:val="Table Paragraph"/>
    <w:basedOn w:val="1"/>
    <w:qFormat/>
    <w:uiPriority w:val="0"/>
    <w:pPr>
      <w:spacing w:before="100" w:beforeAutospacing="1"/>
      <w:jc w:val="left"/>
    </w:pPr>
    <w:rPr>
      <w:rFonts w:ascii="Calibri" w:hAnsi="Calibri"/>
      <w:kern w:val="0"/>
      <w:sz w:val="22"/>
      <w:szCs w:val="22"/>
    </w:rPr>
  </w:style>
  <w:style w:type="table" w:customStyle="1" w:styleId="40">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41">
    <w:name w:val="表格内容 Char"/>
    <w:link w:val="42"/>
    <w:qFormat/>
    <w:uiPriority w:val="0"/>
    <w:rPr>
      <w:rFonts w:ascii="Calibri" w:hAnsi="Calibri"/>
      <w:sz w:val="18"/>
    </w:rPr>
  </w:style>
  <w:style w:type="paragraph" w:customStyle="1" w:styleId="42">
    <w:name w:val="表格内容"/>
    <w:basedOn w:val="1"/>
    <w:link w:val="41"/>
    <w:qFormat/>
    <w:uiPriority w:val="0"/>
    <w:pPr>
      <w:spacing w:before="60" w:after="60" w:line="240" w:lineRule="exact"/>
      <w:ind w:firstLine="20" w:firstLineChars="20"/>
      <w:jc w:val="center"/>
    </w:pPr>
    <w:rPr>
      <w:rFonts w:ascii="Calibri" w:hAnsi="Calibri" w:eastAsiaTheme="minorEastAsia" w:cstheme="minorBidi"/>
      <w:kern w:val="0"/>
      <w:sz w:val="18"/>
      <w:szCs w:val="20"/>
    </w:rPr>
  </w:style>
  <w:style w:type="character" w:customStyle="1" w:styleId="43">
    <w:name w:val="批注文字 Char"/>
    <w:basedOn w:val="23"/>
    <w:link w:val="13"/>
    <w:semiHidden/>
    <w:qFormat/>
    <w:uiPriority w:val="99"/>
    <w:rPr>
      <w:rFonts w:ascii="Times New Roman" w:hAnsi="Times New Roman" w:eastAsia="宋体" w:cs="Times New Roman"/>
      <w:kern w:val="2"/>
      <w:sz w:val="21"/>
      <w:szCs w:val="24"/>
    </w:rPr>
  </w:style>
  <w:style w:type="character" w:customStyle="1" w:styleId="44">
    <w:name w:val="批注主题 Char"/>
    <w:basedOn w:val="43"/>
    <w:link w:val="20"/>
    <w:semiHidden/>
    <w:qFormat/>
    <w:uiPriority w:val="99"/>
    <w:rPr>
      <w:rFonts w:ascii="Times New Roman" w:hAnsi="Times New Roman" w:eastAsia="宋体" w:cs="Times New Roman"/>
      <w:b/>
      <w:bCs/>
      <w:kern w:val="2"/>
      <w:sz w:val="21"/>
      <w:szCs w:val="24"/>
    </w:rPr>
  </w:style>
  <w:style w:type="character" w:customStyle="1" w:styleId="45">
    <w:name w:val="标题 1 Char"/>
    <w:basedOn w:val="23"/>
    <w:link w:val="2"/>
    <w:qFormat/>
    <w:uiPriority w:val="0"/>
    <w:rPr>
      <w:rFonts w:ascii="Times New Roman" w:hAnsi="Times New Roman" w:eastAsia="魏碑" w:cs="Times New Roman"/>
      <w:b/>
      <w:sz w:val="36"/>
    </w:rPr>
  </w:style>
  <w:style w:type="character" w:customStyle="1" w:styleId="46">
    <w:name w:val="标题 2 Char"/>
    <w:basedOn w:val="23"/>
    <w:link w:val="3"/>
    <w:qFormat/>
    <w:uiPriority w:val="0"/>
    <w:rPr>
      <w:rFonts w:ascii="Times New Roman" w:hAnsi="Times New Roman" w:eastAsia="黑体" w:cs="Times New Roman"/>
      <w:sz w:val="30"/>
    </w:rPr>
  </w:style>
  <w:style w:type="character" w:customStyle="1" w:styleId="47">
    <w:name w:val="标题 3 Char"/>
    <w:basedOn w:val="23"/>
    <w:link w:val="4"/>
    <w:qFormat/>
    <w:uiPriority w:val="0"/>
    <w:rPr>
      <w:rFonts w:ascii="Times New Roman" w:hAnsi="Times New Roman" w:eastAsia="黑体" w:cs="Times New Roman"/>
      <w:sz w:val="28"/>
    </w:rPr>
  </w:style>
  <w:style w:type="character" w:customStyle="1" w:styleId="48">
    <w:name w:val="标题 4 Char"/>
    <w:basedOn w:val="23"/>
    <w:link w:val="5"/>
    <w:qFormat/>
    <w:uiPriority w:val="0"/>
    <w:rPr>
      <w:rFonts w:ascii="Times New Roman" w:hAnsi="Times New Roman" w:eastAsia="长城楷体" w:cs="Times New Roman"/>
      <w:b/>
      <w:sz w:val="28"/>
    </w:rPr>
  </w:style>
  <w:style w:type="character" w:customStyle="1" w:styleId="49">
    <w:name w:val="标题 5 Char"/>
    <w:basedOn w:val="23"/>
    <w:link w:val="6"/>
    <w:qFormat/>
    <w:uiPriority w:val="0"/>
    <w:rPr>
      <w:rFonts w:ascii="Times New Roman" w:hAnsi="Times New Roman" w:eastAsia="宋体" w:cs="Times New Roman"/>
      <w:b/>
      <w:sz w:val="24"/>
    </w:rPr>
  </w:style>
  <w:style w:type="character" w:customStyle="1" w:styleId="50">
    <w:name w:val="标题 6 Char"/>
    <w:basedOn w:val="23"/>
    <w:link w:val="7"/>
    <w:qFormat/>
    <w:uiPriority w:val="0"/>
    <w:rPr>
      <w:rFonts w:ascii="Arial" w:hAnsi="Arial" w:eastAsia="黑体" w:cs="Times New Roman"/>
      <w:b/>
      <w:sz w:val="24"/>
    </w:rPr>
  </w:style>
  <w:style w:type="character" w:customStyle="1" w:styleId="51">
    <w:name w:val="标题 7 Char"/>
    <w:basedOn w:val="23"/>
    <w:link w:val="8"/>
    <w:qFormat/>
    <w:uiPriority w:val="0"/>
    <w:rPr>
      <w:rFonts w:ascii="Times New Roman" w:hAnsi="Times New Roman" w:eastAsia="宋体" w:cs="Times New Roman"/>
      <w:b/>
      <w:sz w:val="24"/>
    </w:rPr>
  </w:style>
  <w:style w:type="character" w:customStyle="1" w:styleId="52">
    <w:name w:val="标题 8 Char"/>
    <w:basedOn w:val="23"/>
    <w:link w:val="9"/>
    <w:qFormat/>
    <w:uiPriority w:val="0"/>
    <w:rPr>
      <w:rFonts w:ascii="Arial" w:hAnsi="Arial" w:eastAsia="黑体" w:cs="Times New Roman"/>
      <w:sz w:val="24"/>
    </w:rPr>
  </w:style>
  <w:style w:type="character" w:customStyle="1" w:styleId="53">
    <w:name w:val="标题 9 Char"/>
    <w:basedOn w:val="23"/>
    <w:link w:val="10"/>
    <w:qFormat/>
    <w:uiPriority w:val="0"/>
    <w:rPr>
      <w:rFonts w:ascii="Arial" w:hAnsi="Arial" w:eastAsia="黑体" w:cs="Times New Roman"/>
      <w:sz w:val="21"/>
    </w:rPr>
  </w:style>
  <w:style w:type="character" w:customStyle="1" w:styleId="54">
    <w:name w:val="报告 Char"/>
    <w:link w:val="55"/>
    <w:qFormat/>
    <w:uiPriority w:val="0"/>
    <w:rPr>
      <w:sz w:val="24"/>
    </w:rPr>
  </w:style>
  <w:style w:type="paragraph" w:customStyle="1" w:styleId="55">
    <w:name w:val="报告"/>
    <w:basedOn w:val="1"/>
    <w:link w:val="54"/>
    <w:qFormat/>
    <w:uiPriority w:val="0"/>
    <w:pPr>
      <w:adjustRightInd w:val="0"/>
      <w:spacing w:line="360" w:lineRule="auto"/>
      <w:ind w:firstLine="505"/>
      <w:jc w:val="left"/>
      <w:textAlignment w:val="baseline"/>
    </w:pPr>
    <w:rPr>
      <w:rFonts w:asciiTheme="minorHAnsi" w:hAnsiTheme="minorHAnsi" w:eastAsiaTheme="minorEastAsia" w:cstheme="minorBidi"/>
      <w:kern w:val="0"/>
      <w:sz w:val="24"/>
      <w:szCs w:val="20"/>
    </w:rPr>
  </w:style>
  <w:style w:type="character" w:customStyle="1" w:styleId="56">
    <w:name w:val="表格文字 Char"/>
    <w:link w:val="33"/>
    <w:qFormat/>
    <w:locked/>
    <w:uiPriority w:val="0"/>
    <w:rPr>
      <w:kern w:val="2"/>
      <w:sz w:val="21"/>
      <w:szCs w:val="21"/>
    </w:rPr>
  </w:style>
  <w:style w:type="paragraph" w:customStyle="1" w:styleId="57">
    <w:name w:val="正文1"/>
    <w:qFormat/>
    <w:uiPriority w:val="0"/>
    <w:pPr>
      <w:jc w:val="both"/>
    </w:pPr>
    <w:rPr>
      <w:rFonts w:ascii="Times New Roman" w:hAnsi="Times New Roman" w:eastAsia="宋体" w:cs="Times New Roman"/>
      <w:kern w:val="2"/>
      <w:sz w:val="21"/>
      <w:szCs w:val="21"/>
      <w:lang w:val="en-US" w:eastAsia="zh-CN" w:bidi="ar-SA"/>
    </w:rPr>
  </w:style>
  <w:style w:type="paragraph" w:styleId="58">
    <w:name w:val="List Paragraph"/>
    <w:basedOn w:val="1"/>
    <w:unhideWhenUsed/>
    <w:qFormat/>
    <w:uiPriority w:val="99"/>
    <w:pPr>
      <w:ind w:firstLine="420" w:firstLineChars="200"/>
    </w:pPr>
  </w:style>
  <w:style w:type="character" w:customStyle="1" w:styleId="59">
    <w:name w:val="文档结构图 Char"/>
    <w:basedOn w:val="23"/>
    <w:link w:val="12"/>
    <w:semiHidden/>
    <w:qFormat/>
    <w:uiPriority w:val="99"/>
    <w:rPr>
      <w:rFonts w:ascii="宋体"/>
      <w:kern w:val="2"/>
      <w:sz w:val="18"/>
      <w:szCs w:val="18"/>
    </w:rPr>
  </w:style>
  <w:style w:type="paragraph" w:customStyle="1" w:styleId="60">
    <w:name w:val="Normal_0"/>
    <w:basedOn w:val="1"/>
    <w:qFormat/>
    <w:uiPriority w:val="0"/>
    <w:pPr>
      <w:spacing w:line="360" w:lineRule="auto"/>
      <w:ind w:firstLine="200" w:firstLineChars="200"/>
    </w:pPr>
    <w:rPr>
      <w:rFonts w:eastAsia="仿宋"/>
      <w:sz w:val="28"/>
      <w:szCs w:val="28"/>
    </w:rPr>
  </w:style>
  <w:style w:type="character" w:customStyle="1" w:styleId="61">
    <w:name w:val="10"/>
    <w:basedOn w:val="23"/>
    <w:qFormat/>
    <w:uiPriority w:val="0"/>
    <w:rPr>
      <w:rFonts w:hint="default" w:ascii="Calibri" w:hAnsi="Calibri" w:cs="Calibri"/>
    </w:rPr>
  </w:style>
  <w:style w:type="paragraph" w:customStyle="1" w:styleId="6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3">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64">
    <w:name w:val="标准正文"/>
    <w:basedOn w:val="1"/>
    <w:qFormat/>
    <w:uiPriority w:val="0"/>
    <w:pPr>
      <w:spacing w:line="360" w:lineRule="auto"/>
      <w:ind w:firstLine="200" w:firstLineChars="200"/>
    </w:pPr>
    <w:rPr>
      <w:sz w:val="24"/>
    </w:rPr>
  </w:style>
  <w:style w:type="paragraph" w:customStyle="1" w:styleId="65">
    <w:name w:val="!BG_正文"/>
    <w:basedOn w:val="1"/>
    <w:qFormat/>
    <w:uiPriority w:val="0"/>
    <w:pPr>
      <w:wordWrap w:val="0"/>
      <w:spacing w:line="360" w:lineRule="auto"/>
      <w:ind w:firstLine="200" w:firstLineChars="200"/>
    </w:pPr>
    <w:rPr>
      <w:sz w:val="24"/>
    </w:rPr>
  </w:style>
  <w:style w:type="paragraph" w:customStyle="1" w:styleId="66">
    <w:name w:val="表文字"/>
    <w:basedOn w:val="1"/>
    <w:qFormat/>
    <w:uiPriority w:val="0"/>
    <w:pPr>
      <w:overflowPunct w:val="0"/>
      <w:autoSpaceDE w:val="0"/>
      <w:autoSpaceDN w:val="0"/>
      <w:adjustRightInd w:val="0"/>
      <w:spacing w:beforeLines="10" w:afterLines="10"/>
      <w:jc w:val="center"/>
      <w:textAlignment w:val="baseline"/>
    </w:pPr>
    <w:rPr>
      <w:kern w:val="0"/>
      <w:szCs w:val="21"/>
    </w:rPr>
  </w:style>
  <w:style w:type="paragraph" w:customStyle="1" w:styleId="67">
    <w:name w:val="正文3"/>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C18A01-1861-4810-875A-901B92D5440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43</Pages>
  <Words>30027</Words>
  <Characters>33260</Characters>
  <Lines>271</Lines>
  <Paragraphs>76</Paragraphs>
  <TotalTime>54</TotalTime>
  <ScaleCrop>false</ScaleCrop>
  <LinksUpToDate>false</LinksUpToDate>
  <CharactersWithSpaces>33674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2023-05-24T09:16:00Z</dcterms:created>
  <dc:creator>Administrator</dc:creator>
  <cp:lastModifiedBy>idiot</cp:lastModifiedBy>
  <cp:lastPrinted>2023-05-19T09:53:00Z</cp:lastPrinted>
  <dcterms:modified xsi:type="dcterms:W3CDTF">2023-09-06T02:03:23Z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BA6DC7A9B88447FDB1BAB160BA604C03_13</vt:lpwstr>
  </property>
</Properties>
</file>